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54B" w:rsidRDefault="0032754B" w:rsidP="00B979F4">
      <w:pPr>
        <w:pStyle w:val="Heading3"/>
        <w:numPr>
          <w:ilvl w:val="0"/>
          <w:numId w:val="0"/>
        </w:numPr>
        <w:ind w:left="862" w:hanging="720"/>
      </w:pPr>
      <w:bookmarkStart w:id="0" w:name="_Ref248137497"/>
      <w:r>
        <w:t xml:space="preserve">The function </w:t>
      </w:r>
      <w:r>
        <w:rPr>
          <w:rFonts w:ascii="Courier New" w:hAnsi="Courier New" w:cs="Courier New"/>
        </w:rPr>
        <w:t>CVAbipl</w:t>
      </w:r>
      <w:bookmarkEnd w:id="0"/>
    </w:p>
    <w:p w:rsidR="0032754B" w:rsidRDefault="0032754B" w:rsidP="00B979F4">
      <w:pPr>
        <w:pStyle w:val="Normal0"/>
      </w:pPr>
      <w:r>
        <w:t>This is the basic function for constructing CVA biplots. Provision is made for 1D, 2D and 3D CVA biplots.  Its call and arguments are almost identical to those of the function PCAbipl as discussed in Chapter 3 with the following exceptions:</w:t>
      </w:r>
    </w:p>
    <w:p w:rsidR="0032754B" w:rsidRDefault="0032754B" w:rsidP="0032754B"/>
    <w:p w:rsidR="0032754B" w:rsidRPr="00D44C1C" w:rsidRDefault="0032754B" w:rsidP="0032754B">
      <w:pPr>
        <w:rPr>
          <w:b/>
        </w:rPr>
      </w:pPr>
      <w:r w:rsidRPr="00D44C1C">
        <w:rPr>
          <w:b/>
        </w:rPr>
        <w:t>Arguments</w:t>
      </w:r>
    </w:p>
    <w:tbl>
      <w:tblPr>
        <w:tblW w:w="9806" w:type="dxa"/>
        <w:tblCellSpacing w:w="15" w:type="dxa"/>
        <w:tblLook w:val="04A0" w:firstRow="1" w:lastRow="0" w:firstColumn="1" w:lastColumn="0" w:noHBand="0" w:noVBand="1"/>
      </w:tblPr>
      <w:tblGrid>
        <w:gridCol w:w="2313"/>
        <w:gridCol w:w="7493"/>
      </w:tblGrid>
      <w:tr w:rsidR="0032754B" w:rsidTr="0032754B">
        <w:trPr>
          <w:tblCellSpacing w:w="15" w:type="dxa"/>
        </w:trPr>
        <w:tc>
          <w:tcPr>
            <w:tcW w:w="2268" w:type="dxa"/>
            <w:tcMar>
              <w:top w:w="15" w:type="dxa"/>
              <w:left w:w="15" w:type="dxa"/>
              <w:bottom w:w="15" w:type="dxa"/>
              <w:right w:w="15" w:type="dxa"/>
            </w:tcMar>
            <w:hideMark/>
          </w:tcPr>
          <w:p w:rsidR="0032754B" w:rsidRDefault="0032754B">
            <w:pPr>
              <w:pStyle w:val="Rtext10"/>
              <w:rPr>
                <w:lang w:val="en-US"/>
              </w:rPr>
            </w:pPr>
            <w:r>
              <w:rPr>
                <w:lang w:val="en-US"/>
              </w:rPr>
              <w:t>G</w:t>
            </w:r>
          </w:p>
        </w:tc>
        <w:tc>
          <w:tcPr>
            <w:tcW w:w="0" w:type="auto"/>
            <w:tcMar>
              <w:top w:w="15" w:type="dxa"/>
              <w:left w:w="15" w:type="dxa"/>
              <w:bottom w:w="15" w:type="dxa"/>
              <w:right w:w="15" w:type="dxa"/>
            </w:tcMar>
            <w:hideMark/>
          </w:tcPr>
          <w:p w:rsidR="0032754B" w:rsidRDefault="0032754B" w:rsidP="00B979F4">
            <w:pPr>
              <w:pStyle w:val="NoTabs"/>
            </w:pPr>
            <w:r>
              <w:t xml:space="preserve">A required argument for </w:t>
            </w:r>
            <w:r>
              <w:rPr>
                <w:rStyle w:val="RtextChar"/>
              </w:rPr>
              <w:t>CVAbipl</w:t>
            </w:r>
            <w:r>
              <w:t xml:space="preserve">. Indicator matrix defining </w:t>
            </w:r>
            <w:r>
              <w:rPr>
                <w:i/>
              </w:rPr>
              <w:t>K</w:t>
            </w:r>
            <w:r>
              <w:t xml:space="preserve"> groups of samples in the data.</w:t>
            </w:r>
          </w:p>
        </w:tc>
      </w:tr>
      <w:tr w:rsidR="0032754B" w:rsidTr="0032754B">
        <w:trPr>
          <w:tblCellSpacing w:w="15" w:type="dxa"/>
        </w:trPr>
        <w:tc>
          <w:tcPr>
            <w:tcW w:w="2268" w:type="dxa"/>
            <w:tcMar>
              <w:top w:w="15" w:type="dxa"/>
              <w:left w:w="15" w:type="dxa"/>
              <w:bottom w:w="15" w:type="dxa"/>
              <w:right w:w="15" w:type="dxa"/>
            </w:tcMar>
            <w:hideMark/>
          </w:tcPr>
          <w:p w:rsidR="0032754B" w:rsidRDefault="0032754B">
            <w:pPr>
              <w:pStyle w:val="Rtext10"/>
              <w:rPr>
                <w:lang w:val="en-US"/>
              </w:rPr>
            </w:pPr>
            <w:r>
              <w:rPr>
                <w:lang w:val="en-US"/>
              </w:rPr>
              <w:t>scaled.mat</w:t>
            </w:r>
          </w:p>
        </w:tc>
        <w:tc>
          <w:tcPr>
            <w:tcW w:w="0" w:type="auto"/>
            <w:tcMar>
              <w:top w:w="15" w:type="dxa"/>
              <w:left w:w="15" w:type="dxa"/>
              <w:bottom w:w="15" w:type="dxa"/>
              <w:right w:w="15" w:type="dxa"/>
            </w:tcMar>
            <w:hideMark/>
          </w:tcPr>
          <w:p w:rsidR="0032754B" w:rsidRDefault="0032754B" w:rsidP="00B979F4">
            <w:pPr>
              <w:pStyle w:val="NoTabs"/>
            </w:pPr>
            <w:r>
              <w:t xml:space="preserve">Not available in </w:t>
            </w:r>
            <w:r>
              <w:rPr>
                <w:rStyle w:val="RtextChar"/>
              </w:rPr>
              <w:t>CVAbipl</w:t>
            </w:r>
            <w:r>
              <w:t xml:space="preserve"> since CVA is scale invariant. If for some reason a CVA of scaled data is required it can be performed by assigning the scaled data to argument </w:t>
            </w:r>
            <w:r>
              <w:rPr>
                <w:rStyle w:val="RtextChar"/>
              </w:rPr>
              <w:t>X</w:t>
            </w:r>
            <w:r>
              <w:t>.</w:t>
            </w:r>
          </w:p>
        </w:tc>
      </w:tr>
      <w:tr w:rsidR="0032754B" w:rsidTr="0032754B">
        <w:trPr>
          <w:tblCellSpacing w:w="15" w:type="dxa"/>
        </w:trPr>
        <w:tc>
          <w:tcPr>
            <w:tcW w:w="2268" w:type="dxa"/>
            <w:tcMar>
              <w:top w:w="15" w:type="dxa"/>
              <w:left w:w="15" w:type="dxa"/>
              <w:bottom w:w="15" w:type="dxa"/>
              <w:right w:w="15" w:type="dxa"/>
            </w:tcMar>
            <w:hideMark/>
          </w:tcPr>
          <w:p w:rsidR="0032754B" w:rsidRDefault="0032754B">
            <w:pPr>
              <w:pStyle w:val="Rtext10"/>
              <w:rPr>
                <w:lang w:val="en-US"/>
              </w:rPr>
            </w:pPr>
            <w:r>
              <w:t>weightedCVA</w:t>
            </w:r>
          </w:p>
        </w:tc>
        <w:tc>
          <w:tcPr>
            <w:tcW w:w="0" w:type="auto"/>
            <w:tcMar>
              <w:top w:w="15" w:type="dxa"/>
              <w:left w:w="15" w:type="dxa"/>
              <w:bottom w:w="15" w:type="dxa"/>
              <w:right w:w="15" w:type="dxa"/>
            </w:tcMar>
            <w:hideMark/>
          </w:tcPr>
          <w:p w:rsidR="0032754B" w:rsidRDefault="0032754B" w:rsidP="00B979F4">
            <w:pPr>
              <w:pStyle w:val="NoTabs"/>
            </w:pPr>
            <w:r>
              <w:t xml:space="preserve"> The default is "</w:t>
            </w:r>
            <w:r>
              <w:rPr>
                <w:rStyle w:val="RtextChar"/>
              </w:rPr>
              <w:t>weighted</w:t>
            </w:r>
            <w:r>
              <w:t>" specifying a weighted CVA to be performed. Other possible values are "</w:t>
            </w:r>
            <w:r>
              <w:rPr>
                <w:rStyle w:val="RtextChar"/>
              </w:rPr>
              <w:t>unweightedI</w:t>
            </w:r>
            <w:r>
              <w:t>" or "</w:t>
            </w:r>
            <w:r>
              <w:rPr>
                <w:rStyle w:val="RtextChar"/>
              </w:rPr>
              <w:t>unweightedCent</w:t>
            </w:r>
            <w:r>
              <w:t xml:space="preserve">" for specifying the different forms of unweighted CVA discussed in section </w:t>
            </w:r>
            <w:r>
              <w:fldChar w:fldCharType="begin"/>
            </w:r>
            <w:r>
              <w:instrText xml:space="preserve"> REF _Ref176595387 \r \h  \* MERGEFORMAT </w:instrText>
            </w:r>
            <w:r>
              <w:fldChar w:fldCharType="separate"/>
            </w:r>
            <w:r>
              <w:t>4.2</w:t>
            </w:r>
            <w:r>
              <w:fldChar w:fldCharType="end"/>
            </w:r>
            <w:r>
              <w:t>.</w:t>
            </w:r>
          </w:p>
        </w:tc>
      </w:tr>
      <w:tr w:rsidR="0032754B" w:rsidTr="0032754B">
        <w:trPr>
          <w:tblCellSpacing w:w="15" w:type="dxa"/>
        </w:trPr>
        <w:tc>
          <w:tcPr>
            <w:tcW w:w="2268" w:type="dxa"/>
            <w:tcMar>
              <w:top w:w="15" w:type="dxa"/>
              <w:left w:w="15" w:type="dxa"/>
              <w:bottom w:w="15" w:type="dxa"/>
              <w:right w:w="15" w:type="dxa"/>
            </w:tcMar>
            <w:hideMark/>
          </w:tcPr>
          <w:p w:rsidR="0032754B" w:rsidRDefault="0032754B">
            <w:pPr>
              <w:pStyle w:val="Rtext10"/>
              <w:rPr>
                <w:lang w:val="en-US"/>
              </w:rPr>
            </w:pPr>
            <w:r>
              <w:t>conf.aha</w:t>
            </w:r>
          </w:p>
        </w:tc>
        <w:tc>
          <w:tcPr>
            <w:tcW w:w="0" w:type="auto"/>
            <w:tcMar>
              <w:top w:w="15" w:type="dxa"/>
              <w:left w:w="15" w:type="dxa"/>
              <w:bottom w:w="15" w:type="dxa"/>
              <w:right w:w="15" w:type="dxa"/>
            </w:tcMar>
            <w:hideMark/>
          </w:tcPr>
          <w:p w:rsidR="0032754B" w:rsidRDefault="0032754B" w:rsidP="00B979F4">
            <w:pPr>
              <w:pStyle w:val="NoTabs"/>
            </w:pPr>
            <w:r>
              <w:t xml:space="preserve">Confidence coefficient, typically 0.95 or 0.99, for constructing confidence circles about each group mean. The factor </w:t>
            </w:r>
            <w:r>
              <w:rPr>
                <w:position w:val="-14"/>
              </w:rPr>
              <w:object w:dxaOrig="456"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2.8pt;height:21pt" o:ole="">
                  <v:imagedata r:id="rId8" o:title=""/>
                </v:shape>
                <o:OLEObject Type="Embed" ProgID="Equation.3" ShapeID="_x0000_i1041" DrawAspect="Content" ObjectID="_1396704433" r:id="rId9"/>
              </w:object>
            </w:r>
            <w:r>
              <w:t xml:space="preserve"> as described at the end of section </w:t>
            </w:r>
            <w:r>
              <w:fldChar w:fldCharType="begin"/>
            </w:r>
            <w:r>
              <w:instrText xml:space="preserve"> REF _Ref176595387 \r \h  \* MERGEFORMAT </w:instrText>
            </w:r>
            <w:r>
              <w:fldChar w:fldCharType="separate"/>
            </w:r>
            <w:r>
              <w:t>4.2</w:t>
            </w:r>
            <w:r>
              <w:fldChar w:fldCharType="end"/>
            </w:r>
            <w:proofErr w:type="gramStart"/>
            <w:r>
              <w:t>,</w:t>
            </w:r>
            <w:proofErr w:type="gramEnd"/>
            <w:r>
              <w:t xml:space="preserve"> is included in the calculations. </w:t>
            </w:r>
          </w:p>
        </w:tc>
      </w:tr>
    </w:tbl>
    <w:p w:rsidR="0032754B" w:rsidRDefault="0032754B" w:rsidP="0032754B"/>
    <w:p w:rsidR="0032754B" w:rsidRPr="00D44C1C" w:rsidRDefault="0032754B" w:rsidP="0032754B">
      <w:pPr>
        <w:rPr>
          <w:b/>
        </w:rPr>
      </w:pPr>
      <w:r w:rsidRPr="00D44C1C">
        <w:rPr>
          <w:b/>
        </w:rPr>
        <w:t>Value</w:t>
      </w:r>
    </w:p>
    <w:p w:rsidR="0032754B" w:rsidRDefault="0032754B" w:rsidP="00B979F4">
      <w:pPr>
        <w:pStyle w:val="Normal0"/>
      </w:pPr>
      <w:r>
        <w:t>A list with the following components:</w:t>
      </w:r>
    </w:p>
    <w:tbl>
      <w:tblPr>
        <w:tblW w:w="0" w:type="auto"/>
        <w:tblCellSpacing w:w="15" w:type="dxa"/>
        <w:tblLook w:val="04A0" w:firstRow="1" w:lastRow="0" w:firstColumn="1" w:lastColumn="0" w:noHBand="0" w:noVBand="1"/>
      </w:tblPr>
      <w:tblGrid>
        <w:gridCol w:w="3022"/>
        <w:gridCol w:w="6627"/>
      </w:tblGrid>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 xml:space="preserve">SSP.B </w:t>
            </w:r>
          </w:p>
        </w:tc>
        <w:tc>
          <w:tcPr>
            <w:tcW w:w="0" w:type="auto"/>
            <w:tcMar>
              <w:top w:w="15" w:type="dxa"/>
              <w:left w:w="15" w:type="dxa"/>
              <w:bottom w:w="15" w:type="dxa"/>
              <w:right w:w="15" w:type="dxa"/>
            </w:tcMar>
            <w:hideMark/>
          </w:tcPr>
          <w:p w:rsidR="0032754B" w:rsidRDefault="0032754B" w:rsidP="00B979F4">
            <w:pPr>
              <w:pStyle w:val="NoTabs"/>
            </w:pPr>
            <w:r>
              <w:t>The “between” sums of squares and products matrix</w:t>
            </w:r>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SSP.W</w:t>
            </w:r>
          </w:p>
        </w:tc>
        <w:tc>
          <w:tcPr>
            <w:tcW w:w="0" w:type="auto"/>
            <w:tcMar>
              <w:top w:w="15" w:type="dxa"/>
              <w:left w:w="15" w:type="dxa"/>
              <w:bottom w:w="15" w:type="dxa"/>
              <w:right w:w="15" w:type="dxa"/>
            </w:tcMar>
            <w:hideMark/>
          </w:tcPr>
          <w:p w:rsidR="0032754B" w:rsidRDefault="0032754B" w:rsidP="00B979F4">
            <w:pPr>
              <w:pStyle w:val="NoTabs"/>
            </w:pPr>
            <w:r>
              <w:t>The “within” sums of squares and products matrix</w:t>
            </w:r>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 xml:space="preserve">Lmat </w:t>
            </w:r>
          </w:p>
        </w:tc>
        <w:tc>
          <w:tcPr>
            <w:tcW w:w="0" w:type="auto"/>
            <w:tcMar>
              <w:top w:w="15" w:type="dxa"/>
              <w:left w:w="15" w:type="dxa"/>
              <w:bottom w:w="15" w:type="dxa"/>
              <w:right w:w="15" w:type="dxa"/>
            </w:tcMar>
            <w:hideMark/>
          </w:tcPr>
          <w:p w:rsidR="0032754B" w:rsidRDefault="0032754B" w:rsidP="00B979F4">
            <w:pPr>
              <w:pStyle w:val="NoTabs"/>
            </w:pPr>
            <w:r>
              <w:t xml:space="preserve">Matrix </w:t>
            </w:r>
            <w:r>
              <w:rPr>
                <w:b/>
              </w:rPr>
              <w:t>L</w:t>
            </w:r>
            <w:r>
              <w:t xml:space="preserve">  that transforms the original space into the canonical space</w:t>
            </w:r>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 xml:space="preserve">Mmat  </w:t>
            </w:r>
          </w:p>
        </w:tc>
        <w:tc>
          <w:tcPr>
            <w:tcW w:w="0" w:type="auto"/>
            <w:tcMar>
              <w:top w:w="15" w:type="dxa"/>
              <w:left w:w="15" w:type="dxa"/>
              <w:bottom w:w="15" w:type="dxa"/>
              <w:right w:w="15" w:type="dxa"/>
            </w:tcMar>
            <w:hideMark/>
          </w:tcPr>
          <w:p w:rsidR="0032754B" w:rsidRDefault="0032754B" w:rsidP="00B979F4">
            <w:pPr>
              <w:pStyle w:val="NoTabs"/>
              <w:rPr>
                <w:b/>
              </w:rPr>
            </w:pPr>
            <w:r>
              <w:t xml:space="preserve">Matrix </w:t>
            </w:r>
            <w:r>
              <w:rPr>
                <w:b/>
              </w:rPr>
              <w:t>M</w:t>
            </w:r>
            <w:r>
              <w:t xml:space="preserve"> = </w:t>
            </w:r>
            <w:smartTag w:uri="urn:schemas-microsoft-com:office:smarttags" w:element="place">
              <w:smartTag w:uri="urn:schemas-microsoft-com:office:smarttags" w:element="City">
                <w:r>
                  <w:rPr>
                    <w:b/>
                  </w:rPr>
                  <w:t>LV</w:t>
                </w:r>
              </w:smartTag>
            </w:smartTag>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 xml:space="preserve">lambda </w:t>
            </w:r>
          </w:p>
        </w:tc>
        <w:tc>
          <w:tcPr>
            <w:tcW w:w="0" w:type="auto"/>
            <w:tcMar>
              <w:top w:w="15" w:type="dxa"/>
              <w:left w:w="15" w:type="dxa"/>
              <w:bottom w:w="15" w:type="dxa"/>
              <w:right w:w="15" w:type="dxa"/>
            </w:tcMar>
            <w:hideMark/>
          </w:tcPr>
          <w:p w:rsidR="0032754B" w:rsidRDefault="0032754B" w:rsidP="00B979F4">
            <w:pPr>
              <w:pStyle w:val="NoTabs"/>
              <w:rPr>
                <w:b/>
              </w:rPr>
            </w:pPr>
            <w:r>
              <w:t xml:space="preserve">The eigenvalues i.e. diagonal elements of </w:t>
            </w:r>
            <w:r>
              <w:rPr>
                <w:b/>
              </w:rPr>
              <w:sym w:font="Symbol" w:char="F04C"/>
            </w:r>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 xml:space="preserve">CVA.quality.canvar  </w:t>
            </w:r>
          </w:p>
        </w:tc>
        <w:tc>
          <w:tcPr>
            <w:tcW w:w="0" w:type="auto"/>
            <w:tcMar>
              <w:top w:w="15" w:type="dxa"/>
              <w:left w:w="15" w:type="dxa"/>
              <w:bottom w:w="15" w:type="dxa"/>
              <w:right w:w="15" w:type="dxa"/>
            </w:tcMar>
            <w:hideMark/>
          </w:tcPr>
          <w:p w:rsidR="0032754B" w:rsidRDefault="0032754B" w:rsidP="00B979F4">
            <w:pPr>
              <w:pStyle w:val="NoTabs"/>
            </w:pPr>
            <w:r>
              <w:t>The overall quality of the display in terms of the canonical space</w:t>
            </w:r>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 xml:space="preserve">CVA.quality.origvar </w:t>
            </w:r>
          </w:p>
        </w:tc>
        <w:tc>
          <w:tcPr>
            <w:tcW w:w="0" w:type="auto"/>
            <w:tcMar>
              <w:top w:w="15" w:type="dxa"/>
              <w:left w:w="15" w:type="dxa"/>
              <w:bottom w:w="15" w:type="dxa"/>
              <w:right w:w="15" w:type="dxa"/>
            </w:tcMar>
            <w:hideMark/>
          </w:tcPr>
          <w:p w:rsidR="0032754B" w:rsidRDefault="0032754B" w:rsidP="00B979F4">
            <w:pPr>
              <w:pStyle w:val="NoTabs"/>
            </w:pPr>
            <w:r>
              <w:t>The overall quality of the display in terms of the original space</w:t>
            </w:r>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Adequacy</w:t>
            </w:r>
          </w:p>
        </w:tc>
        <w:tc>
          <w:tcPr>
            <w:tcW w:w="0" w:type="auto"/>
            <w:tcMar>
              <w:top w:w="15" w:type="dxa"/>
              <w:left w:w="15" w:type="dxa"/>
              <w:bottom w:w="15" w:type="dxa"/>
              <w:right w:w="15" w:type="dxa"/>
            </w:tcMar>
            <w:hideMark/>
          </w:tcPr>
          <w:p w:rsidR="0032754B" w:rsidRDefault="0032754B" w:rsidP="00B979F4">
            <w:pPr>
              <w:pStyle w:val="NoTabs"/>
            </w:pPr>
            <w:r>
              <w:t>The axis predictivities</w:t>
            </w:r>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 xml:space="preserve">predictions  </w:t>
            </w:r>
          </w:p>
        </w:tc>
        <w:tc>
          <w:tcPr>
            <w:tcW w:w="0" w:type="auto"/>
            <w:tcMar>
              <w:top w:w="15" w:type="dxa"/>
              <w:left w:w="15" w:type="dxa"/>
              <w:bottom w:w="15" w:type="dxa"/>
              <w:right w:w="15" w:type="dxa"/>
            </w:tcMar>
            <w:hideMark/>
          </w:tcPr>
          <w:p w:rsidR="0032754B" w:rsidRDefault="0032754B" w:rsidP="00B979F4">
            <w:pPr>
              <w:pStyle w:val="NoTabs"/>
            </w:pPr>
            <w:r>
              <w:t>Predictions of the means or of the samples as specified</w:t>
            </w:r>
          </w:p>
        </w:tc>
      </w:tr>
      <w:tr w:rsidR="0032754B" w:rsidTr="0032754B">
        <w:trPr>
          <w:tblCellSpacing w:w="15" w:type="dxa"/>
        </w:trPr>
        <w:tc>
          <w:tcPr>
            <w:tcW w:w="2977" w:type="dxa"/>
            <w:tcMar>
              <w:top w:w="15" w:type="dxa"/>
              <w:left w:w="15" w:type="dxa"/>
              <w:bottom w:w="15" w:type="dxa"/>
              <w:right w:w="15" w:type="dxa"/>
            </w:tcMar>
            <w:hideMark/>
          </w:tcPr>
          <w:p w:rsidR="0032754B" w:rsidRDefault="0032754B">
            <w:pPr>
              <w:pStyle w:val="Rtext10"/>
            </w:pPr>
            <w:r>
              <w:t>Z.means.mat</w:t>
            </w:r>
          </w:p>
        </w:tc>
        <w:tc>
          <w:tcPr>
            <w:tcW w:w="0" w:type="auto"/>
            <w:tcMar>
              <w:top w:w="15" w:type="dxa"/>
              <w:left w:w="15" w:type="dxa"/>
              <w:bottom w:w="15" w:type="dxa"/>
              <w:right w:w="15" w:type="dxa"/>
            </w:tcMar>
            <w:hideMark/>
          </w:tcPr>
          <w:p w:rsidR="0032754B" w:rsidRDefault="0032754B" w:rsidP="00B979F4">
            <w:pPr>
              <w:pStyle w:val="NoTabs"/>
            </w:pPr>
            <w:r>
              <w:t>Matrix containing the canonical means</w:t>
            </w:r>
          </w:p>
        </w:tc>
      </w:tr>
    </w:tbl>
    <w:p w:rsidR="0032754B" w:rsidRDefault="0032754B" w:rsidP="00B979F4">
      <w:pPr>
        <w:pStyle w:val="Normal0"/>
        <w:rPr>
          <w:lang w:val="en-GB"/>
        </w:rPr>
      </w:pPr>
      <w:r>
        <w:rPr>
          <w:rStyle w:val="RtextChar"/>
        </w:rPr>
        <w:t>CVAbipl</w:t>
      </w:r>
      <w:r>
        <w:t xml:space="preserve"> is mainly called for its side effect, the plotting of the CVA biplot. Functions </w:t>
      </w:r>
      <w:r>
        <w:rPr>
          <w:rStyle w:val="RtextChar"/>
        </w:rPr>
        <w:t>CVA.predictions.mat</w:t>
      </w:r>
      <w:r>
        <w:t xml:space="preserve"> and </w:t>
      </w:r>
      <w:r>
        <w:rPr>
          <w:rStyle w:val="RtextChar"/>
        </w:rPr>
        <w:t>CVA.predictivities</w:t>
      </w:r>
      <w:r>
        <w:t xml:space="preserve"> provide extensive output of the various measures of fit and fitted values discussed in this chapter.</w:t>
      </w:r>
    </w:p>
    <w:p w:rsidR="0032754B" w:rsidRDefault="0032754B" w:rsidP="00B979F4">
      <w:pPr>
        <w:pStyle w:val="Heading3"/>
        <w:numPr>
          <w:ilvl w:val="0"/>
          <w:numId w:val="0"/>
        </w:numPr>
        <w:rPr>
          <w:rFonts w:ascii="Courier New" w:hAnsi="Courier New" w:cs="Courier New"/>
        </w:rPr>
      </w:pPr>
      <w:bookmarkStart w:id="1" w:name="_Ref248137522"/>
      <w:r>
        <w:t xml:space="preserve">The function </w:t>
      </w:r>
      <w:r>
        <w:rPr>
          <w:rFonts w:ascii="Courier New" w:hAnsi="Courier New" w:cs="Courier New"/>
        </w:rPr>
        <w:t>CVAbipl.zoom</w:t>
      </w:r>
      <w:bookmarkEnd w:id="1"/>
    </w:p>
    <w:p w:rsidR="0032754B" w:rsidRDefault="0032754B" w:rsidP="00B979F4">
      <w:pPr>
        <w:pStyle w:val="Normal0"/>
        <w:rPr>
          <w:rFonts w:cs="Courier New"/>
        </w:rPr>
      </w:pPr>
      <w:proofErr w:type="gramStart"/>
      <w:r>
        <w:t>A function for zooming into an interactively selected area of a 1D or 2D CVA biplot.</w:t>
      </w:r>
      <w:proofErr w:type="gramEnd"/>
      <w:r>
        <w:t xml:space="preserve"> In addition to the arguments of </w:t>
      </w:r>
      <w:r>
        <w:rPr>
          <w:rStyle w:val="RtextChar"/>
        </w:rPr>
        <w:t>CVAbipl</w:t>
      </w:r>
      <w:r>
        <w:t xml:space="preserve"> this function has the argument </w:t>
      </w:r>
      <w:r>
        <w:rPr>
          <w:rStyle w:val="RtextChar"/>
        </w:rPr>
        <w:t>zoomval</w:t>
      </w:r>
      <w:r>
        <w:t xml:space="preserve"> for controlling the amount of zooming. Its usage is similar as described for function </w:t>
      </w:r>
      <w:r>
        <w:rPr>
          <w:rStyle w:val="RtextChar"/>
        </w:rPr>
        <w:t>PCAbipl.zoom</w:t>
      </w:r>
      <w:r>
        <w:rPr>
          <w:rFonts w:cs="Courier New"/>
        </w:rPr>
        <w:t xml:space="preserve"> </w:t>
      </w:r>
      <w:r>
        <w:t xml:space="preserve">in </w:t>
      </w:r>
      <w:r w:rsidRPr="00B979F4">
        <w:t>section 3.7.2.</w:t>
      </w:r>
      <w:r>
        <w:rPr>
          <w:rFonts w:cs="Courier New"/>
        </w:rPr>
        <w:t xml:space="preserve"> </w:t>
      </w:r>
    </w:p>
    <w:p w:rsidR="0032754B" w:rsidRDefault="0032754B" w:rsidP="00B979F4">
      <w:pPr>
        <w:pStyle w:val="Heading3"/>
        <w:numPr>
          <w:ilvl w:val="0"/>
          <w:numId w:val="0"/>
        </w:numPr>
      </w:pPr>
      <w:r>
        <w:t>The function CVAbipl.density</w:t>
      </w:r>
    </w:p>
    <w:p w:rsidR="0032754B" w:rsidRDefault="0032754B" w:rsidP="00B979F4">
      <w:pPr>
        <w:pStyle w:val="Normal0"/>
      </w:pPr>
      <w:proofErr w:type="gramStart"/>
      <w:r>
        <w:t>A function for overlaying 2D CVA biplots on a density plot of a two dimensional CVA approximation of the input matrix.</w:t>
      </w:r>
      <w:proofErr w:type="gramEnd"/>
      <w:r>
        <w:t xml:space="preserve"> Its usage and additional arguments to those of </w:t>
      </w:r>
      <w:r>
        <w:rPr>
          <w:rStyle w:val="RtextChar"/>
        </w:rPr>
        <w:t>CVAbipl</w:t>
      </w:r>
      <w:r>
        <w:t xml:space="preserve"> are identical to the description given for </w:t>
      </w:r>
      <w:r>
        <w:rPr>
          <w:rStyle w:val="RtextChar"/>
        </w:rPr>
        <w:t>PCAbipl.density</w:t>
      </w:r>
      <w:r>
        <w:t xml:space="preserve"> in </w:t>
      </w:r>
      <w:r w:rsidRPr="00B979F4">
        <w:t>section 3.7.3.</w:t>
      </w:r>
    </w:p>
    <w:p w:rsidR="0032754B" w:rsidRDefault="0032754B" w:rsidP="00B979F4">
      <w:pPr>
        <w:pStyle w:val="Heading3"/>
        <w:numPr>
          <w:ilvl w:val="0"/>
          <w:numId w:val="0"/>
        </w:numPr>
      </w:pPr>
      <w:r>
        <w:lastRenderedPageBreak/>
        <w:t>The function CVAbipl.density.zoom</w:t>
      </w:r>
    </w:p>
    <w:p w:rsidR="0032754B" w:rsidRDefault="0032754B" w:rsidP="00B979F4">
      <w:pPr>
        <w:pStyle w:val="Normal0"/>
      </w:pPr>
      <w:r>
        <w:t xml:space="preserve">Analogous to </w:t>
      </w:r>
      <w:r>
        <w:rPr>
          <w:rStyle w:val="RtextChar"/>
        </w:rPr>
        <w:t>CVAbipl.zoom</w:t>
      </w:r>
      <w:r>
        <w:t xml:space="preserve"> the function </w:t>
      </w:r>
      <w:proofErr w:type="gramStart"/>
      <w:r>
        <w:rPr>
          <w:rStyle w:val="RtextChar"/>
        </w:rPr>
        <w:t>CVAbipl.density.zoom</w:t>
      </w:r>
      <w:r>
        <w:t xml:space="preserve">  provides</w:t>
      </w:r>
      <w:proofErr w:type="gramEnd"/>
      <w:r>
        <w:t xml:space="preserve"> zooming functionality for </w:t>
      </w:r>
      <w:r>
        <w:rPr>
          <w:rStyle w:val="RtextChar"/>
        </w:rPr>
        <w:t>CVAbipl.density</w:t>
      </w:r>
      <w:r>
        <w:t xml:space="preserve"> through its argument </w:t>
      </w:r>
      <w:r>
        <w:rPr>
          <w:rStyle w:val="RtextChar"/>
        </w:rPr>
        <w:t>zoomval</w:t>
      </w:r>
      <w:r>
        <w:t>.</w:t>
      </w:r>
    </w:p>
    <w:p w:rsidR="0032754B" w:rsidRDefault="0032754B" w:rsidP="00B979F4">
      <w:pPr>
        <w:pStyle w:val="Heading3"/>
        <w:numPr>
          <w:ilvl w:val="0"/>
          <w:numId w:val="0"/>
        </w:numPr>
        <w:ind w:left="862" w:hanging="720"/>
      </w:pPr>
      <w:r>
        <w:t>The function CVAbipl.pred.regions</w:t>
      </w:r>
    </w:p>
    <w:p w:rsidR="0032754B" w:rsidRDefault="0032754B" w:rsidP="00B979F4">
      <w:pPr>
        <w:pStyle w:val="Normal0"/>
        <w:rPr>
          <w:rFonts w:cs="Courier New"/>
        </w:rPr>
      </w:pPr>
      <w:proofErr w:type="gramStart"/>
      <w:r>
        <w:t>This function construct</w:t>
      </w:r>
      <w:proofErr w:type="gramEnd"/>
      <w:r>
        <w:t xml:space="preserve"> nearest canonical means regions for a CVA biplot. In addition to the arguments </w:t>
      </w:r>
      <w:proofErr w:type="gramStart"/>
      <w:r>
        <w:t xml:space="preserve">of  </w:t>
      </w:r>
      <w:r>
        <w:rPr>
          <w:rStyle w:val="RtextChar"/>
        </w:rPr>
        <w:t>CVAbipl</w:t>
      </w:r>
      <w:proofErr w:type="gramEnd"/>
      <w:r>
        <w:t xml:space="preserve"> it has the arguments described below. These latter arguments are passed to the function </w:t>
      </w:r>
      <w:r>
        <w:rPr>
          <w:rStyle w:val="RtextChar"/>
        </w:rPr>
        <w:t>pred.regions</w:t>
      </w:r>
      <w:r>
        <w:t xml:space="preserve"> which in turn calls the function </w:t>
      </w:r>
      <w:r>
        <w:rPr>
          <w:rStyle w:val="RtextChar"/>
        </w:rPr>
        <w:t>Colour.Pixel</w:t>
      </w:r>
      <w:r>
        <w:t xml:space="preserve">. The functions </w:t>
      </w:r>
      <w:r>
        <w:rPr>
          <w:rStyle w:val="RtextChar"/>
        </w:rPr>
        <w:t>pred.regions</w:t>
      </w:r>
      <w:r>
        <w:t xml:space="preserve"> and </w:t>
      </w:r>
      <w:r>
        <w:rPr>
          <w:rStyle w:val="RtextChar"/>
        </w:rPr>
        <w:t>Colour.Pixel</w:t>
      </w:r>
      <w:r>
        <w:t xml:space="preserve"> are responsible for calculating the distance from a given grid point in the biplot space to each canonical mean in the full canonical space. The grid point is then coloured according to the canonical mean having the shortest distance to it.  Additional arguments of </w:t>
      </w:r>
      <w:r>
        <w:rPr>
          <w:rStyle w:val="RtextChar"/>
        </w:rPr>
        <w:t>CVAbipl.pred.regions</w:t>
      </w:r>
      <w:r>
        <w:t xml:space="preserve"> for passing to functions </w:t>
      </w:r>
      <w:r>
        <w:rPr>
          <w:rStyle w:val="RtextChar"/>
        </w:rPr>
        <w:t>pred.regions</w:t>
      </w:r>
      <w:r>
        <w:t xml:space="preserve"> and </w:t>
      </w:r>
      <w:r>
        <w:rPr>
          <w:rStyle w:val="RtextChar"/>
        </w:rPr>
        <w:t>Colour.Pixel</w:t>
      </w:r>
    </w:p>
    <w:p w:rsidR="0032754B" w:rsidRDefault="0032754B" w:rsidP="0032754B"/>
    <w:tbl>
      <w:tblPr>
        <w:tblW w:w="9684" w:type="dxa"/>
        <w:tblCellSpacing w:w="15" w:type="dxa"/>
        <w:tblLook w:val="04A0" w:firstRow="1" w:lastRow="0" w:firstColumn="1" w:lastColumn="0" w:noHBand="0" w:noVBand="1"/>
      </w:tblPr>
      <w:tblGrid>
        <w:gridCol w:w="2455"/>
        <w:gridCol w:w="7229"/>
      </w:tblGrid>
      <w:tr w:rsidR="0032754B" w:rsidTr="0032754B">
        <w:trPr>
          <w:tblCellSpacing w:w="15" w:type="dxa"/>
        </w:trPr>
        <w:tc>
          <w:tcPr>
            <w:tcW w:w="2410" w:type="dxa"/>
            <w:tcMar>
              <w:top w:w="15" w:type="dxa"/>
              <w:left w:w="15" w:type="dxa"/>
              <w:bottom w:w="15" w:type="dxa"/>
              <w:right w:w="15" w:type="dxa"/>
            </w:tcMar>
            <w:hideMark/>
          </w:tcPr>
          <w:p w:rsidR="0032754B" w:rsidRDefault="0032754B">
            <w:pPr>
              <w:pStyle w:val="Rtext10"/>
            </w:pPr>
            <w:r>
              <w:t>x.grid</w:t>
            </w:r>
          </w:p>
        </w:tc>
        <w:tc>
          <w:tcPr>
            <w:tcW w:w="7184" w:type="dxa"/>
            <w:tcMar>
              <w:top w:w="15" w:type="dxa"/>
              <w:left w:w="15" w:type="dxa"/>
              <w:bottom w:w="15" w:type="dxa"/>
              <w:right w:w="15" w:type="dxa"/>
            </w:tcMar>
            <w:hideMark/>
          </w:tcPr>
          <w:p w:rsidR="0032754B" w:rsidRDefault="0032754B" w:rsidP="00B979F4">
            <w:pPr>
              <w:pStyle w:val="NoTabs"/>
            </w:pPr>
            <w:r>
              <w:t xml:space="preserve">Defaults to 0.05. Determines the </w:t>
            </w:r>
            <w:r>
              <w:rPr>
                <w:i/>
              </w:rPr>
              <w:t>x</w:t>
            </w:r>
            <w:r>
              <w:t>-coordinates of a grid overlaying the biplot space</w:t>
            </w:r>
          </w:p>
        </w:tc>
      </w:tr>
      <w:tr w:rsidR="0032754B" w:rsidTr="0032754B">
        <w:trPr>
          <w:tblCellSpacing w:w="15" w:type="dxa"/>
        </w:trPr>
        <w:tc>
          <w:tcPr>
            <w:tcW w:w="2410" w:type="dxa"/>
            <w:tcMar>
              <w:top w:w="15" w:type="dxa"/>
              <w:left w:w="15" w:type="dxa"/>
              <w:bottom w:w="15" w:type="dxa"/>
              <w:right w:w="15" w:type="dxa"/>
            </w:tcMar>
            <w:hideMark/>
          </w:tcPr>
          <w:p w:rsidR="0032754B" w:rsidRDefault="0032754B">
            <w:pPr>
              <w:pStyle w:val="Rtext10"/>
            </w:pPr>
            <w:r>
              <w:t>y.grid</w:t>
            </w:r>
          </w:p>
        </w:tc>
        <w:tc>
          <w:tcPr>
            <w:tcW w:w="7184" w:type="dxa"/>
            <w:tcMar>
              <w:top w:w="15" w:type="dxa"/>
              <w:left w:w="15" w:type="dxa"/>
              <w:bottom w:w="15" w:type="dxa"/>
              <w:right w:w="15" w:type="dxa"/>
            </w:tcMar>
            <w:hideMark/>
          </w:tcPr>
          <w:p w:rsidR="0032754B" w:rsidRDefault="0032754B" w:rsidP="00B979F4">
            <w:pPr>
              <w:pStyle w:val="NoTabs"/>
            </w:pPr>
            <w:r>
              <w:t xml:space="preserve">Defaults to 0.05. Determines the </w:t>
            </w:r>
            <w:r>
              <w:rPr>
                <w:i/>
              </w:rPr>
              <w:t>y</w:t>
            </w:r>
            <w:r>
              <w:t>-coordinates of a grid overlaying the biplot space</w:t>
            </w:r>
          </w:p>
        </w:tc>
      </w:tr>
      <w:tr w:rsidR="0032754B" w:rsidTr="0032754B">
        <w:trPr>
          <w:tblCellSpacing w:w="15" w:type="dxa"/>
        </w:trPr>
        <w:tc>
          <w:tcPr>
            <w:tcW w:w="2410" w:type="dxa"/>
            <w:tcMar>
              <w:top w:w="15" w:type="dxa"/>
              <w:left w:w="15" w:type="dxa"/>
              <w:bottom w:w="15" w:type="dxa"/>
              <w:right w:w="15" w:type="dxa"/>
            </w:tcMar>
            <w:hideMark/>
          </w:tcPr>
          <w:p w:rsidR="0032754B" w:rsidRDefault="0032754B">
            <w:pPr>
              <w:pStyle w:val="Rtext10"/>
            </w:pPr>
            <w:r>
              <w:t>plot.symbol</w:t>
            </w:r>
          </w:p>
        </w:tc>
        <w:tc>
          <w:tcPr>
            <w:tcW w:w="7184" w:type="dxa"/>
            <w:tcMar>
              <w:top w:w="15" w:type="dxa"/>
              <w:left w:w="15" w:type="dxa"/>
              <w:bottom w:w="15" w:type="dxa"/>
              <w:right w:w="15" w:type="dxa"/>
            </w:tcMar>
            <w:hideMark/>
          </w:tcPr>
          <w:p w:rsidR="0032754B" w:rsidRDefault="0032754B" w:rsidP="00B979F4">
            <w:pPr>
              <w:pStyle w:val="NoTabs"/>
            </w:pPr>
            <w:r>
              <w:t>Defaults to 16. Plotting symbol for labelling a grid point</w:t>
            </w:r>
          </w:p>
        </w:tc>
      </w:tr>
      <w:tr w:rsidR="0032754B" w:rsidTr="0032754B">
        <w:trPr>
          <w:tblCellSpacing w:w="15" w:type="dxa"/>
        </w:trPr>
        <w:tc>
          <w:tcPr>
            <w:tcW w:w="2410" w:type="dxa"/>
            <w:tcMar>
              <w:top w:w="15" w:type="dxa"/>
              <w:left w:w="15" w:type="dxa"/>
              <w:bottom w:w="15" w:type="dxa"/>
              <w:right w:w="15" w:type="dxa"/>
            </w:tcMar>
            <w:hideMark/>
          </w:tcPr>
          <w:p w:rsidR="0032754B" w:rsidRDefault="0032754B">
            <w:pPr>
              <w:pStyle w:val="Rtext10"/>
            </w:pPr>
            <w:r>
              <w:t>plot.symbol.size</w:t>
            </w:r>
          </w:p>
        </w:tc>
        <w:tc>
          <w:tcPr>
            <w:tcW w:w="7184" w:type="dxa"/>
            <w:tcMar>
              <w:top w:w="15" w:type="dxa"/>
              <w:left w:w="15" w:type="dxa"/>
              <w:bottom w:w="15" w:type="dxa"/>
              <w:right w:w="15" w:type="dxa"/>
            </w:tcMar>
            <w:hideMark/>
          </w:tcPr>
          <w:p w:rsidR="0032754B" w:rsidRDefault="0032754B" w:rsidP="00B979F4">
            <w:pPr>
              <w:pStyle w:val="NoTabs"/>
            </w:pPr>
            <w:r>
              <w:t>Defaults to 0.05. Size of plotting symbol for labelling a grid point</w:t>
            </w:r>
          </w:p>
        </w:tc>
      </w:tr>
      <w:tr w:rsidR="0032754B" w:rsidTr="0032754B">
        <w:trPr>
          <w:tblCellSpacing w:w="15" w:type="dxa"/>
        </w:trPr>
        <w:tc>
          <w:tcPr>
            <w:tcW w:w="2410" w:type="dxa"/>
            <w:tcMar>
              <w:top w:w="15" w:type="dxa"/>
              <w:left w:w="15" w:type="dxa"/>
              <w:bottom w:w="15" w:type="dxa"/>
              <w:right w:w="15" w:type="dxa"/>
            </w:tcMar>
            <w:hideMark/>
          </w:tcPr>
          <w:p w:rsidR="0032754B" w:rsidRDefault="0032754B">
            <w:pPr>
              <w:pStyle w:val="Rtext10"/>
            </w:pPr>
            <w:r>
              <w:t>Colours</w:t>
            </w:r>
          </w:p>
        </w:tc>
        <w:tc>
          <w:tcPr>
            <w:tcW w:w="7184" w:type="dxa"/>
            <w:tcMar>
              <w:top w:w="15" w:type="dxa"/>
              <w:left w:w="15" w:type="dxa"/>
              <w:bottom w:w="15" w:type="dxa"/>
              <w:right w:w="15" w:type="dxa"/>
            </w:tcMar>
            <w:hideMark/>
          </w:tcPr>
          <w:p w:rsidR="0032754B" w:rsidRDefault="0032754B" w:rsidP="00B979F4">
            <w:pPr>
              <w:pStyle w:val="NoTabs"/>
            </w:pPr>
            <w:r>
              <w:t xml:space="preserve">A </w:t>
            </w:r>
            <w:r>
              <w:rPr>
                <w:i/>
              </w:rPr>
              <w:t>k</w:t>
            </w:r>
            <w:r>
              <w:t xml:space="preserve">-vector specifying the colouring of each grid point according to the canonical mean with the shortest distance to it where </w:t>
            </w:r>
            <w:r>
              <w:rPr>
                <w:i/>
              </w:rPr>
              <w:t>k</w:t>
            </w:r>
            <w:r>
              <w:t xml:space="preserve"> denotes the number of canonical means.</w:t>
            </w:r>
          </w:p>
        </w:tc>
      </w:tr>
    </w:tbl>
    <w:p w:rsidR="0032754B" w:rsidRDefault="0032754B" w:rsidP="0032754B">
      <w:pPr>
        <w:rPr>
          <w:highlight w:val="yellow"/>
        </w:rPr>
      </w:pPr>
      <w:r>
        <w:rPr>
          <w:highlight w:val="yellow"/>
        </w:rPr>
        <w:t xml:space="preserve"> </w:t>
      </w:r>
    </w:p>
    <w:p w:rsidR="0032754B" w:rsidRDefault="0032754B" w:rsidP="00B979F4">
      <w:pPr>
        <w:pStyle w:val="Heading3"/>
        <w:numPr>
          <w:ilvl w:val="0"/>
          <w:numId w:val="0"/>
        </w:numPr>
        <w:ind w:left="862" w:hanging="720"/>
      </w:pPr>
      <w:r>
        <w:t>The function CVA.predictivities</w:t>
      </w:r>
    </w:p>
    <w:p w:rsidR="0032754B" w:rsidRDefault="0032754B" w:rsidP="00B979F4">
      <w:pPr>
        <w:pStyle w:val="Normal0"/>
        <w:rPr>
          <w:rFonts w:cs="Courier New"/>
        </w:rPr>
      </w:pPr>
      <w:r>
        <w:t xml:space="preserve">A function for calculating the various measures of fit discussed in section </w:t>
      </w:r>
      <w:r>
        <w:fldChar w:fldCharType="begin"/>
      </w:r>
      <w:r>
        <w:instrText xml:space="preserve"> REF _Ref251860748 \r \h </w:instrText>
      </w:r>
      <w:r>
        <w:fldChar w:fldCharType="separate"/>
      </w:r>
      <w:r>
        <w:t>4.6</w:t>
      </w:r>
      <w:r>
        <w:fldChar w:fldCharType="end"/>
      </w:r>
      <w:r>
        <w:t xml:space="preserve">. It has the five arguments discussed above for </w:t>
      </w:r>
      <w:r>
        <w:rPr>
          <w:rStyle w:val="RtextChar"/>
        </w:rPr>
        <w:t>CVAbipl</w:t>
      </w:r>
      <w:r>
        <w:t>:</w:t>
      </w:r>
      <w:r>
        <w:rPr>
          <w:rFonts w:cs="Courier New"/>
        </w:rPr>
        <w:t xml:space="preserve"> </w:t>
      </w:r>
      <w:r>
        <w:rPr>
          <w:rStyle w:val="RtextChar"/>
        </w:rPr>
        <w:t>X</w:t>
      </w:r>
      <w:r>
        <w:rPr>
          <w:rFonts w:cs="Courier New"/>
        </w:rPr>
        <w:t xml:space="preserve">, </w:t>
      </w:r>
      <w:r>
        <w:rPr>
          <w:rStyle w:val="RtextChar"/>
        </w:rPr>
        <w:t>G</w:t>
      </w:r>
      <w:r>
        <w:rPr>
          <w:rFonts w:cs="Courier New"/>
        </w:rPr>
        <w:t xml:space="preserve">, </w:t>
      </w:r>
      <w:r>
        <w:rPr>
          <w:rStyle w:val="RtextChar"/>
        </w:rPr>
        <w:t>weightedCVA</w:t>
      </w:r>
      <w:r>
        <w:rPr>
          <w:rFonts w:cs="Courier New"/>
        </w:rPr>
        <w:t xml:space="preserve">, </w:t>
      </w:r>
      <w:r>
        <w:rPr>
          <w:rStyle w:val="RtextChar"/>
        </w:rPr>
        <w:t>X.new.samples</w:t>
      </w:r>
      <w:r>
        <w:rPr>
          <w:rFonts w:cs="Courier New"/>
        </w:rPr>
        <w:t xml:space="preserve"> </w:t>
      </w:r>
      <w:r>
        <w:t>and</w:t>
      </w:r>
      <w:r>
        <w:rPr>
          <w:rFonts w:cs="Courier New"/>
        </w:rPr>
        <w:t xml:space="preserve"> </w:t>
      </w:r>
      <w:r>
        <w:rPr>
          <w:rStyle w:val="RtextChar"/>
        </w:rPr>
        <w:t>X.new.vars</w:t>
      </w:r>
      <w:r>
        <w:t>.</w:t>
      </w:r>
      <w:r>
        <w:rPr>
          <w:rFonts w:cs="Courier New"/>
        </w:rPr>
        <w:t xml:space="preserve"> </w:t>
      </w:r>
      <w:r>
        <w:t>The various measures of fit are provided for dimensions 1, 2</w:t>
      </w:r>
      <w:proofErr w:type="gramStart"/>
      <w:r>
        <w:t>, ...,</w:t>
      </w:r>
      <w:proofErr w:type="gramEnd"/>
      <w:r>
        <w:t xml:space="preserve"> </w:t>
      </w:r>
      <w:r>
        <w:rPr>
          <w:i/>
        </w:rPr>
        <w:t>p</w:t>
      </w:r>
      <w:r>
        <w:t xml:space="preserve"> and  the output (value) of </w:t>
      </w:r>
      <w:r>
        <w:rPr>
          <w:rStyle w:val="RtextChar"/>
        </w:rPr>
        <w:t>CVA.predictivities</w:t>
      </w:r>
      <w:r>
        <w:t xml:space="preserve"> is a list with the following named components:</w:t>
      </w:r>
    </w:p>
    <w:p w:rsidR="0032754B" w:rsidRDefault="0032754B" w:rsidP="0032754B"/>
    <w:p w:rsidR="0032754B" w:rsidRPr="00D44C1C" w:rsidRDefault="0032754B" w:rsidP="0032754B">
      <w:pPr>
        <w:rPr>
          <w:b/>
        </w:rPr>
      </w:pPr>
      <w:r w:rsidRPr="00D44C1C">
        <w:rPr>
          <w:b/>
        </w:rPr>
        <w:t>Value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9"/>
        <w:gridCol w:w="4886"/>
      </w:tblGrid>
      <w:tr w:rsidR="0032754B" w:rsidTr="0032754B">
        <w:tc>
          <w:tcPr>
            <w:tcW w:w="4249" w:type="dxa"/>
            <w:tcBorders>
              <w:top w:val="nil"/>
              <w:left w:val="nil"/>
              <w:bottom w:val="nil"/>
              <w:right w:val="nil"/>
            </w:tcBorders>
            <w:hideMark/>
          </w:tcPr>
          <w:p w:rsidR="0032754B" w:rsidRDefault="0032754B">
            <w:pPr>
              <w:pStyle w:val="Rtext10"/>
            </w:pPr>
            <w:r>
              <w:t>OverAllMeans</w:t>
            </w:r>
          </w:p>
        </w:tc>
        <w:tc>
          <w:tcPr>
            <w:tcW w:w="5599" w:type="dxa"/>
            <w:tcBorders>
              <w:top w:val="nil"/>
              <w:left w:val="nil"/>
              <w:bottom w:val="nil"/>
              <w:right w:val="nil"/>
            </w:tcBorders>
            <w:hideMark/>
          </w:tcPr>
          <w:p w:rsidR="0032754B" w:rsidRDefault="0032754B" w:rsidP="00B979F4">
            <w:pPr>
              <w:pStyle w:val="NoTabs"/>
            </w:pPr>
            <w:r>
              <w:t>Means of the original data matrix</w:t>
            </w:r>
          </w:p>
        </w:tc>
      </w:tr>
      <w:tr w:rsidR="0032754B" w:rsidTr="0032754B">
        <w:tc>
          <w:tcPr>
            <w:tcW w:w="4249" w:type="dxa"/>
            <w:tcBorders>
              <w:top w:val="nil"/>
              <w:left w:val="nil"/>
              <w:bottom w:val="nil"/>
              <w:right w:val="nil"/>
            </w:tcBorders>
            <w:hideMark/>
          </w:tcPr>
          <w:p w:rsidR="0032754B" w:rsidRDefault="0032754B">
            <w:pPr>
              <w:pStyle w:val="Rtext10"/>
            </w:pPr>
            <w:r>
              <w:t>XBar.groups</w:t>
            </w:r>
          </w:p>
        </w:tc>
        <w:tc>
          <w:tcPr>
            <w:tcW w:w="5599" w:type="dxa"/>
            <w:tcBorders>
              <w:top w:val="nil"/>
              <w:left w:val="nil"/>
              <w:bottom w:val="nil"/>
              <w:right w:val="nil"/>
            </w:tcBorders>
            <w:hideMark/>
          </w:tcPr>
          <w:p w:rsidR="0032754B" w:rsidRDefault="0032754B" w:rsidP="00B979F4">
            <w:pPr>
              <w:pStyle w:val="NoTabs"/>
            </w:pPr>
            <w:r>
              <w:t>Group means of the uncentred data matrix</w:t>
            </w:r>
          </w:p>
        </w:tc>
      </w:tr>
      <w:tr w:rsidR="0032754B" w:rsidTr="0032754B">
        <w:tc>
          <w:tcPr>
            <w:tcW w:w="4249" w:type="dxa"/>
            <w:tcBorders>
              <w:top w:val="nil"/>
              <w:left w:val="nil"/>
              <w:bottom w:val="nil"/>
              <w:right w:val="nil"/>
            </w:tcBorders>
            <w:hideMark/>
          </w:tcPr>
          <w:p w:rsidR="0032754B" w:rsidRDefault="0032754B">
            <w:pPr>
              <w:pStyle w:val="Rtext10"/>
            </w:pPr>
            <w:r>
              <w:t>XcentBar.groups</w:t>
            </w:r>
          </w:p>
        </w:tc>
        <w:tc>
          <w:tcPr>
            <w:tcW w:w="5599" w:type="dxa"/>
            <w:tcBorders>
              <w:top w:val="nil"/>
              <w:left w:val="nil"/>
              <w:bottom w:val="nil"/>
              <w:right w:val="nil"/>
            </w:tcBorders>
            <w:hideMark/>
          </w:tcPr>
          <w:p w:rsidR="0032754B" w:rsidRDefault="0032754B" w:rsidP="00B979F4">
            <w:pPr>
              <w:pStyle w:val="NoTabs"/>
            </w:pPr>
            <w:r>
              <w:t>Group means of the column centred data matrix</w:t>
            </w:r>
          </w:p>
        </w:tc>
      </w:tr>
      <w:tr w:rsidR="0032754B" w:rsidTr="0032754B">
        <w:tc>
          <w:tcPr>
            <w:tcW w:w="4249" w:type="dxa"/>
            <w:tcBorders>
              <w:top w:val="nil"/>
              <w:left w:val="nil"/>
              <w:bottom w:val="nil"/>
              <w:right w:val="nil"/>
            </w:tcBorders>
            <w:hideMark/>
          </w:tcPr>
          <w:p w:rsidR="0032754B" w:rsidRDefault="0032754B">
            <w:pPr>
              <w:pStyle w:val="Rtext10"/>
            </w:pPr>
            <w:r>
              <w:t xml:space="preserve">canon.group.means </w:t>
            </w:r>
          </w:p>
        </w:tc>
        <w:tc>
          <w:tcPr>
            <w:tcW w:w="5599" w:type="dxa"/>
            <w:tcBorders>
              <w:top w:val="nil"/>
              <w:left w:val="nil"/>
              <w:bottom w:val="nil"/>
              <w:right w:val="nil"/>
            </w:tcBorders>
            <w:hideMark/>
          </w:tcPr>
          <w:p w:rsidR="0032754B" w:rsidRDefault="0032754B" w:rsidP="00B979F4">
            <w:pPr>
              <w:pStyle w:val="NoTabs"/>
            </w:pPr>
            <w:r>
              <w:t>Canonical group means</w:t>
            </w:r>
          </w:p>
        </w:tc>
      </w:tr>
      <w:tr w:rsidR="0032754B" w:rsidTr="0032754B">
        <w:tc>
          <w:tcPr>
            <w:tcW w:w="4249" w:type="dxa"/>
            <w:tcBorders>
              <w:top w:val="nil"/>
              <w:left w:val="nil"/>
              <w:bottom w:val="nil"/>
              <w:right w:val="nil"/>
            </w:tcBorders>
            <w:hideMark/>
          </w:tcPr>
          <w:p w:rsidR="0032754B" w:rsidRDefault="0032754B">
            <w:pPr>
              <w:pStyle w:val="Rtext10"/>
            </w:pPr>
            <w:r>
              <w:t>CVA.quality.canvar</w:t>
            </w:r>
          </w:p>
        </w:tc>
        <w:tc>
          <w:tcPr>
            <w:tcW w:w="5599" w:type="dxa"/>
            <w:tcBorders>
              <w:top w:val="nil"/>
              <w:left w:val="nil"/>
              <w:bottom w:val="nil"/>
              <w:right w:val="nil"/>
            </w:tcBorders>
            <w:hideMark/>
          </w:tcPr>
          <w:p w:rsidR="0032754B" w:rsidRDefault="0032754B" w:rsidP="00B979F4">
            <w:pPr>
              <w:pStyle w:val="NoTabs"/>
            </w:pPr>
            <w:r>
              <w:t xml:space="preserve">Overall quality with respect to the canonical variables </w:t>
            </w:r>
            <w:r>
              <w:fldChar w:fldCharType="begin"/>
            </w:r>
            <w:r>
              <w:instrText xml:space="preserve"> REF _Ref248135910 \h  \* MERGEFORMAT </w:instrText>
            </w:r>
            <w:r>
              <w:fldChar w:fldCharType="separate"/>
            </w:r>
            <w:r>
              <w:t xml:space="preserve"> </w:t>
            </w:r>
            <w:r>
              <w:tab/>
              <w:t>(</w:t>
            </w:r>
            <w:r>
              <w:rPr>
                <w:noProof/>
              </w:rPr>
              <w:t>4</w:t>
            </w:r>
            <w:r>
              <w:rPr>
                <w:noProof/>
              </w:rPr>
              <w:noBreakHyphen/>
              <w:t>16</w:t>
            </w:r>
            <w:r>
              <w:t>)</w:t>
            </w:r>
            <w:r>
              <w:fldChar w:fldCharType="end"/>
            </w:r>
          </w:p>
        </w:tc>
      </w:tr>
      <w:tr w:rsidR="0032754B" w:rsidTr="0032754B">
        <w:tc>
          <w:tcPr>
            <w:tcW w:w="4249" w:type="dxa"/>
            <w:tcBorders>
              <w:top w:val="nil"/>
              <w:left w:val="nil"/>
              <w:bottom w:val="nil"/>
              <w:right w:val="nil"/>
            </w:tcBorders>
            <w:hideMark/>
          </w:tcPr>
          <w:p w:rsidR="0032754B" w:rsidRDefault="0032754B">
            <w:pPr>
              <w:pStyle w:val="Rtext10"/>
            </w:pPr>
            <w:r>
              <w:t>CVA.quality.origvar</w:t>
            </w:r>
          </w:p>
        </w:tc>
        <w:tc>
          <w:tcPr>
            <w:tcW w:w="5599" w:type="dxa"/>
            <w:tcBorders>
              <w:top w:val="nil"/>
              <w:left w:val="nil"/>
              <w:bottom w:val="nil"/>
              <w:right w:val="nil"/>
            </w:tcBorders>
            <w:hideMark/>
          </w:tcPr>
          <w:p w:rsidR="0032754B" w:rsidRDefault="0032754B" w:rsidP="00B979F4">
            <w:pPr>
              <w:pStyle w:val="NoTabs"/>
            </w:pPr>
            <w:r>
              <w:t xml:space="preserve">Overall quality with respect to the original variables </w:t>
            </w:r>
            <w:r>
              <w:fldChar w:fldCharType="begin"/>
            </w:r>
            <w:r>
              <w:instrText xml:space="preserve"> REF _Ref248136355 \h  \* MERGEFORMAT </w:instrText>
            </w:r>
            <w:r>
              <w:fldChar w:fldCharType="separate"/>
            </w:r>
            <w:r>
              <w:tab/>
              <w:t>(</w:t>
            </w:r>
            <w:r>
              <w:rPr>
                <w:noProof/>
              </w:rPr>
              <w:t>4</w:t>
            </w:r>
            <w:r>
              <w:rPr>
                <w:noProof/>
              </w:rPr>
              <w:noBreakHyphen/>
              <w:t>17</w:t>
            </w:r>
            <w:r>
              <w:t>)</w:t>
            </w:r>
            <w:r>
              <w:fldChar w:fldCharType="end"/>
            </w:r>
          </w:p>
        </w:tc>
      </w:tr>
      <w:tr w:rsidR="0032754B" w:rsidTr="0032754B">
        <w:tc>
          <w:tcPr>
            <w:tcW w:w="4249" w:type="dxa"/>
            <w:tcBorders>
              <w:top w:val="nil"/>
              <w:left w:val="nil"/>
              <w:bottom w:val="nil"/>
              <w:right w:val="nil"/>
            </w:tcBorders>
            <w:hideMark/>
          </w:tcPr>
          <w:p w:rsidR="0032754B" w:rsidRDefault="0032754B">
            <w:pPr>
              <w:pStyle w:val="Rtext10"/>
            </w:pPr>
            <w:r>
              <w:t>Axis.Adequacies</w:t>
            </w:r>
          </w:p>
        </w:tc>
        <w:tc>
          <w:tcPr>
            <w:tcW w:w="5599" w:type="dxa"/>
            <w:tcBorders>
              <w:top w:val="nil"/>
              <w:left w:val="nil"/>
              <w:bottom w:val="nil"/>
              <w:right w:val="nil"/>
            </w:tcBorders>
            <w:hideMark/>
          </w:tcPr>
          <w:p w:rsidR="0032754B" w:rsidRDefault="0032754B" w:rsidP="00B979F4">
            <w:pPr>
              <w:pStyle w:val="NoTabs"/>
            </w:pPr>
            <w:r>
              <w:t xml:space="preserve">Adequacies associated with the variables (biplot axes) defined in </w:t>
            </w:r>
            <w:r>
              <w:fldChar w:fldCharType="begin"/>
            </w:r>
            <w:r>
              <w:instrText xml:space="preserve"> REF _Ref248137249 \h  \* MERGEFORMAT </w:instrText>
            </w:r>
            <w:r>
              <w:fldChar w:fldCharType="separate"/>
            </w:r>
            <w:r>
              <w:tab/>
              <w:t>(</w:t>
            </w:r>
            <w:r>
              <w:rPr>
                <w:noProof/>
              </w:rPr>
              <w:t>4</w:t>
            </w:r>
            <w:r>
              <w:rPr>
                <w:noProof/>
              </w:rPr>
              <w:noBreakHyphen/>
              <w:t>18</w:t>
            </w:r>
            <w:r>
              <w:t>)</w:t>
            </w:r>
            <w:r>
              <w:fldChar w:fldCharType="end"/>
            </w:r>
          </w:p>
        </w:tc>
      </w:tr>
      <w:tr w:rsidR="0032754B" w:rsidTr="0032754B">
        <w:tc>
          <w:tcPr>
            <w:tcW w:w="4249" w:type="dxa"/>
            <w:tcBorders>
              <w:top w:val="nil"/>
              <w:left w:val="nil"/>
              <w:bottom w:val="nil"/>
              <w:right w:val="nil"/>
            </w:tcBorders>
            <w:hideMark/>
          </w:tcPr>
          <w:p w:rsidR="0032754B" w:rsidRDefault="0032754B">
            <w:pPr>
              <w:pStyle w:val="Rtext10"/>
            </w:pPr>
            <w:r>
              <w:t>Axis.Predictivities</w:t>
            </w:r>
          </w:p>
        </w:tc>
        <w:tc>
          <w:tcPr>
            <w:tcW w:w="5599" w:type="dxa"/>
            <w:tcBorders>
              <w:top w:val="nil"/>
              <w:left w:val="nil"/>
              <w:bottom w:val="nil"/>
              <w:right w:val="nil"/>
            </w:tcBorders>
            <w:hideMark/>
          </w:tcPr>
          <w:p w:rsidR="0032754B" w:rsidRDefault="0032754B" w:rsidP="00B979F4">
            <w:pPr>
              <w:pStyle w:val="NoTabs"/>
            </w:pPr>
            <w:r>
              <w:t xml:space="preserve">Predictivities associated with the original variables (biplot axes) defined in </w:t>
            </w:r>
            <w:r>
              <w:fldChar w:fldCharType="begin"/>
            </w:r>
            <w:r>
              <w:instrText xml:space="preserve"> REF _Ref248136367 \h  \* MERGEFORMAT </w:instrText>
            </w:r>
            <w:r>
              <w:fldChar w:fldCharType="separate"/>
            </w:r>
            <w:r>
              <w:tab/>
              <w:t>(</w:t>
            </w:r>
            <w:r>
              <w:rPr>
                <w:noProof/>
              </w:rPr>
              <w:t>4</w:t>
            </w:r>
            <w:r>
              <w:rPr>
                <w:noProof/>
              </w:rPr>
              <w:noBreakHyphen/>
              <w:t>19</w:t>
            </w:r>
            <w:r>
              <w:t>)</w:t>
            </w:r>
            <w:r>
              <w:fldChar w:fldCharType="end"/>
            </w:r>
          </w:p>
        </w:tc>
      </w:tr>
      <w:tr w:rsidR="0032754B" w:rsidTr="0032754B">
        <w:tc>
          <w:tcPr>
            <w:tcW w:w="4249" w:type="dxa"/>
            <w:tcBorders>
              <w:top w:val="nil"/>
              <w:left w:val="nil"/>
              <w:bottom w:val="nil"/>
              <w:right w:val="nil"/>
            </w:tcBorders>
            <w:hideMark/>
          </w:tcPr>
          <w:p w:rsidR="0032754B" w:rsidRDefault="0032754B">
            <w:pPr>
              <w:pStyle w:val="Rtext10"/>
            </w:pPr>
            <w:r>
              <w:t>Class.Predictivities</w:t>
            </w:r>
          </w:p>
        </w:tc>
        <w:tc>
          <w:tcPr>
            <w:tcW w:w="5599" w:type="dxa"/>
            <w:tcBorders>
              <w:top w:val="nil"/>
              <w:left w:val="nil"/>
              <w:bottom w:val="nil"/>
              <w:right w:val="nil"/>
            </w:tcBorders>
            <w:hideMark/>
          </w:tcPr>
          <w:p w:rsidR="0032754B" w:rsidRDefault="0032754B" w:rsidP="00B979F4">
            <w:pPr>
              <w:pStyle w:val="NoTabs"/>
            </w:pPr>
            <w:r>
              <w:t xml:space="preserve">The predictivities for each group calculated </w:t>
            </w:r>
            <w:r>
              <w:lastRenderedPageBreak/>
              <w:t xml:space="preserve">according to </w:t>
            </w:r>
            <w:r>
              <w:fldChar w:fldCharType="begin"/>
            </w:r>
            <w:r>
              <w:instrText xml:space="preserve"> REF _Ref248136514 \h  \* MERGEFORMAT </w:instrText>
            </w:r>
            <w:r>
              <w:fldChar w:fldCharType="separate"/>
            </w:r>
            <w:r>
              <w:tab/>
              <w:t>(</w:t>
            </w:r>
            <w:r>
              <w:rPr>
                <w:noProof/>
              </w:rPr>
              <w:t>4</w:t>
            </w:r>
            <w:r>
              <w:rPr>
                <w:noProof/>
              </w:rPr>
              <w:noBreakHyphen/>
              <w:t>20</w:t>
            </w:r>
            <w:r>
              <w:t>)</w:t>
            </w:r>
            <w:r>
              <w:fldChar w:fldCharType="end"/>
            </w:r>
          </w:p>
        </w:tc>
      </w:tr>
      <w:tr w:rsidR="0032754B" w:rsidTr="0032754B">
        <w:tc>
          <w:tcPr>
            <w:tcW w:w="4249" w:type="dxa"/>
            <w:tcBorders>
              <w:top w:val="nil"/>
              <w:left w:val="nil"/>
              <w:bottom w:val="nil"/>
              <w:right w:val="nil"/>
            </w:tcBorders>
            <w:hideMark/>
          </w:tcPr>
          <w:p w:rsidR="0032754B" w:rsidRDefault="0032754B">
            <w:pPr>
              <w:pStyle w:val="Rtext10"/>
            </w:pPr>
            <w:r>
              <w:lastRenderedPageBreak/>
              <w:t>WithinGroup.axis.Predictivities</w:t>
            </w:r>
          </w:p>
        </w:tc>
        <w:tc>
          <w:tcPr>
            <w:tcW w:w="5599" w:type="dxa"/>
            <w:tcBorders>
              <w:top w:val="nil"/>
              <w:left w:val="nil"/>
              <w:bottom w:val="nil"/>
              <w:right w:val="nil"/>
            </w:tcBorders>
            <w:hideMark/>
          </w:tcPr>
          <w:p w:rsidR="0032754B" w:rsidRDefault="0032754B" w:rsidP="00B979F4">
            <w:pPr>
              <w:pStyle w:val="NoTabs"/>
            </w:pPr>
            <w:r>
              <w:t>The within group axis predictivity for each variable (column) of (</w:t>
            </w:r>
            <w:r>
              <w:rPr>
                <w:b/>
              </w:rPr>
              <w:t>I</w:t>
            </w:r>
            <w:r>
              <w:t xml:space="preserve"> – </w:t>
            </w:r>
            <w:r>
              <w:rPr>
                <w:b/>
              </w:rPr>
              <w:t>H</w:t>
            </w:r>
            <w:r>
              <w:t>)</w:t>
            </w:r>
            <w:r>
              <w:rPr>
                <w:b/>
              </w:rPr>
              <w:t>X</w:t>
            </w:r>
            <w:r>
              <w:t xml:space="preserve">, calculated according to </w:t>
            </w:r>
            <w:r>
              <w:fldChar w:fldCharType="begin"/>
            </w:r>
            <w:r>
              <w:instrText xml:space="preserve"> REF _Ref248136938 \h  \* MERGEFORMAT </w:instrText>
            </w:r>
            <w:r>
              <w:fldChar w:fldCharType="separate"/>
            </w:r>
            <w:r>
              <w:t xml:space="preserve"> </w:t>
            </w:r>
            <w:r>
              <w:tab/>
              <w:t>(</w:t>
            </w:r>
            <w:r>
              <w:rPr>
                <w:noProof/>
              </w:rPr>
              <w:t>4</w:t>
            </w:r>
            <w:r>
              <w:rPr>
                <w:noProof/>
              </w:rPr>
              <w:noBreakHyphen/>
              <w:t>22</w:t>
            </w:r>
            <w:r>
              <w:t>)</w:t>
            </w:r>
            <w:r>
              <w:fldChar w:fldCharType="end"/>
            </w:r>
          </w:p>
        </w:tc>
      </w:tr>
      <w:tr w:rsidR="0032754B" w:rsidTr="0032754B">
        <w:tc>
          <w:tcPr>
            <w:tcW w:w="4249" w:type="dxa"/>
            <w:tcBorders>
              <w:top w:val="nil"/>
              <w:left w:val="nil"/>
              <w:bottom w:val="nil"/>
              <w:right w:val="nil"/>
            </w:tcBorders>
            <w:hideMark/>
          </w:tcPr>
          <w:p w:rsidR="0032754B" w:rsidRDefault="0032754B">
            <w:pPr>
              <w:pStyle w:val="Rtext10"/>
            </w:pPr>
            <w:r>
              <w:t>WithinGroup.Sample.Predictivities</w:t>
            </w:r>
          </w:p>
        </w:tc>
        <w:tc>
          <w:tcPr>
            <w:tcW w:w="5599" w:type="dxa"/>
            <w:tcBorders>
              <w:top w:val="nil"/>
              <w:left w:val="nil"/>
              <w:bottom w:val="nil"/>
              <w:right w:val="nil"/>
            </w:tcBorders>
            <w:hideMark/>
          </w:tcPr>
          <w:p w:rsidR="0032754B" w:rsidRDefault="0032754B" w:rsidP="00B979F4">
            <w:pPr>
              <w:pStyle w:val="NoTabs"/>
            </w:pPr>
            <w:r>
              <w:t xml:space="preserve">The within group sample predictivities  calculated according to </w:t>
            </w:r>
            <w:r>
              <w:fldChar w:fldCharType="begin"/>
            </w:r>
            <w:r>
              <w:instrText xml:space="preserve"> REF _Ref248137123 \h  \* MERGEFORMAT </w:instrText>
            </w:r>
            <w:r>
              <w:fldChar w:fldCharType="separate"/>
            </w:r>
            <w:r>
              <w:t xml:space="preserve"> </w:t>
            </w:r>
            <w:r>
              <w:tab/>
              <w:t>(</w:t>
            </w:r>
            <w:r>
              <w:rPr>
                <w:noProof/>
              </w:rPr>
              <w:t>4</w:t>
            </w:r>
            <w:r>
              <w:rPr>
                <w:noProof/>
              </w:rPr>
              <w:noBreakHyphen/>
              <w:t>23</w:t>
            </w:r>
            <w:r>
              <w:t>)</w:t>
            </w:r>
            <w:r>
              <w:fldChar w:fldCharType="end"/>
            </w:r>
          </w:p>
        </w:tc>
      </w:tr>
      <w:tr w:rsidR="0032754B" w:rsidTr="0032754B">
        <w:tc>
          <w:tcPr>
            <w:tcW w:w="4249" w:type="dxa"/>
            <w:tcBorders>
              <w:top w:val="nil"/>
              <w:left w:val="nil"/>
              <w:bottom w:val="nil"/>
              <w:right w:val="nil"/>
            </w:tcBorders>
            <w:hideMark/>
          </w:tcPr>
          <w:p w:rsidR="0032754B" w:rsidRDefault="0032754B">
            <w:pPr>
              <w:pStyle w:val="Rtext10"/>
            </w:pPr>
            <w:r>
              <w:t>new.sample.pred</w:t>
            </w:r>
          </w:p>
        </w:tc>
        <w:tc>
          <w:tcPr>
            <w:tcW w:w="5599" w:type="dxa"/>
            <w:tcBorders>
              <w:top w:val="nil"/>
              <w:left w:val="nil"/>
              <w:bottom w:val="nil"/>
              <w:right w:val="nil"/>
            </w:tcBorders>
            <w:hideMark/>
          </w:tcPr>
          <w:p w:rsidR="0032754B" w:rsidRDefault="0032754B" w:rsidP="00B979F4">
            <w:pPr>
              <w:pStyle w:val="NoTabs"/>
            </w:pPr>
            <w:r>
              <w:t xml:space="preserve">The within group sample predictivities for new samples calculated according to section </w:t>
            </w:r>
            <w:r>
              <w:fldChar w:fldCharType="begin"/>
            </w:r>
            <w:r>
              <w:instrText xml:space="preserve"> REF _Ref248205676 \r \h  \* MERGEFORMAT </w:instrText>
            </w:r>
            <w:r>
              <w:fldChar w:fldCharType="separate"/>
            </w:r>
            <w:r>
              <w:t>4.6.1</w:t>
            </w:r>
            <w:r>
              <w:fldChar w:fldCharType="end"/>
            </w:r>
          </w:p>
        </w:tc>
      </w:tr>
      <w:tr w:rsidR="0032754B" w:rsidTr="0032754B">
        <w:tc>
          <w:tcPr>
            <w:tcW w:w="4249" w:type="dxa"/>
            <w:tcBorders>
              <w:top w:val="nil"/>
              <w:left w:val="nil"/>
              <w:bottom w:val="nil"/>
              <w:right w:val="nil"/>
            </w:tcBorders>
            <w:hideMark/>
          </w:tcPr>
          <w:p w:rsidR="0032754B" w:rsidRDefault="0032754B">
            <w:pPr>
              <w:pStyle w:val="Rtext10"/>
            </w:pPr>
            <w:r>
              <w:t>Axis.predictivities.new.vars</w:t>
            </w:r>
          </w:p>
        </w:tc>
        <w:tc>
          <w:tcPr>
            <w:tcW w:w="5599" w:type="dxa"/>
            <w:tcBorders>
              <w:top w:val="nil"/>
              <w:left w:val="nil"/>
              <w:bottom w:val="nil"/>
              <w:right w:val="nil"/>
            </w:tcBorders>
            <w:hideMark/>
          </w:tcPr>
          <w:p w:rsidR="0032754B" w:rsidRDefault="0032754B" w:rsidP="00B979F4">
            <w:pPr>
              <w:pStyle w:val="NoTabs"/>
            </w:pPr>
            <w:r>
              <w:t xml:space="preserve">Axis predictivities for new variables calculated according to </w:t>
            </w:r>
            <w:r>
              <w:fldChar w:fldCharType="begin"/>
            </w:r>
            <w:r>
              <w:instrText xml:space="preserve"> REF _Ref251860210 \h  \* MERGEFORMAT </w:instrText>
            </w:r>
            <w:r>
              <w:fldChar w:fldCharType="separate"/>
            </w:r>
            <w:r>
              <w:tab/>
              <w:t>(</w:t>
            </w:r>
            <w:r>
              <w:rPr>
                <w:noProof/>
              </w:rPr>
              <w:t>4</w:t>
            </w:r>
            <w:r>
              <w:rPr>
                <w:noProof/>
              </w:rPr>
              <w:noBreakHyphen/>
              <w:t>26</w:t>
            </w:r>
            <w:r>
              <w:t>)</w:t>
            </w:r>
            <w:r>
              <w:fldChar w:fldCharType="end"/>
            </w:r>
          </w:p>
        </w:tc>
      </w:tr>
    </w:tbl>
    <w:p w:rsidR="0032754B" w:rsidRDefault="0032754B" w:rsidP="0032754B"/>
    <w:p w:rsidR="0032754B" w:rsidRDefault="0032754B" w:rsidP="00B979F4">
      <w:pPr>
        <w:pStyle w:val="Heading3"/>
        <w:numPr>
          <w:ilvl w:val="0"/>
          <w:numId w:val="0"/>
        </w:numPr>
      </w:pPr>
      <w:bookmarkStart w:id="2" w:name="_Ref248137532"/>
      <w:r>
        <w:t>The function CVA.predictions.mat</w:t>
      </w:r>
      <w:bookmarkEnd w:id="2"/>
    </w:p>
    <w:p w:rsidR="0032754B" w:rsidRDefault="0032754B" w:rsidP="00B979F4">
      <w:pPr>
        <w:pStyle w:val="Normal0"/>
        <w:rPr>
          <w:rFonts w:cs="Courier New"/>
        </w:rPr>
      </w:pPr>
      <w:r>
        <w:t>Function</w:t>
      </w:r>
      <w:r>
        <w:rPr>
          <w:rFonts w:cs="Courier New"/>
        </w:rPr>
        <w:t xml:space="preserve"> </w:t>
      </w:r>
      <w:r>
        <w:rPr>
          <w:rStyle w:val="RtextChar"/>
        </w:rPr>
        <w:t>CVA.predictions.mat</w:t>
      </w:r>
      <w:r>
        <w:t xml:space="preserve"> takes the three arguments </w:t>
      </w:r>
      <w:r>
        <w:rPr>
          <w:rStyle w:val="RtextChar"/>
        </w:rPr>
        <w:t>X</w:t>
      </w:r>
      <w:proofErr w:type="gramStart"/>
      <w:r>
        <w:rPr>
          <w:rFonts w:cs="Courier New"/>
        </w:rPr>
        <w:t>,</w:t>
      </w:r>
      <w:r>
        <w:rPr>
          <w:rStyle w:val="RtextChar"/>
        </w:rPr>
        <w:t>G</w:t>
      </w:r>
      <w:proofErr w:type="gramEnd"/>
      <w:r>
        <w:rPr>
          <w:rFonts w:cs="Courier New"/>
        </w:rPr>
        <w:t xml:space="preserve"> </w:t>
      </w:r>
      <w:r>
        <w:t>and</w:t>
      </w:r>
      <w:r>
        <w:rPr>
          <w:rFonts w:cs="Courier New"/>
        </w:rPr>
        <w:t xml:space="preserve"> </w:t>
      </w:r>
      <w:r>
        <w:rPr>
          <w:rStyle w:val="RtextChar"/>
        </w:rPr>
        <w:t>weightedCVA</w:t>
      </w:r>
      <w:r>
        <w:t xml:space="preserve"> as described above for </w:t>
      </w:r>
      <w:r>
        <w:rPr>
          <w:rStyle w:val="RtextChar"/>
        </w:rPr>
        <w:t>CVAbipl</w:t>
      </w:r>
      <w:r>
        <w:t>. Its return value is a list with the named components given below. Note that the various fitted values are given for dimensions 1, 2</w:t>
      </w:r>
      <w:proofErr w:type="gramStart"/>
      <w:r>
        <w:t>, . . . ,</w:t>
      </w:r>
      <w:proofErr w:type="gramEnd"/>
      <w:r>
        <w:t xml:space="preserve"> </w:t>
      </w:r>
      <w:r>
        <w:rPr>
          <w:i/>
        </w:rPr>
        <w:t>p</w:t>
      </w:r>
      <w:r>
        <w:t xml:space="preserve"> .</w:t>
      </w:r>
    </w:p>
    <w:p w:rsidR="0032754B" w:rsidRDefault="0032754B" w:rsidP="0032754B"/>
    <w:p w:rsidR="0032754B" w:rsidRPr="00D44C1C" w:rsidRDefault="0032754B" w:rsidP="0032754B">
      <w:pPr>
        <w:rPr>
          <w:b/>
        </w:rPr>
      </w:pPr>
      <w:bookmarkStart w:id="3" w:name="_GoBack"/>
      <w:r w:rsidRPr="00D44C1C">
        <w:rPr>
          <w:b/>
        </w:rPr>
        <w:t>Value</w:t>
      </w:r>
    </w:p>
    <w:tbl>
      <w:tblPr>
        <w:tblW w:w="0" w:type="auto"/>
        <w:tblLook w:val="04A0" w:firstRow="1" w:lastRow="0" w:firstColumn="1" w:lastColumn="0" w:noHBand="0" w:noVBand="1"/>
      </w:tblPr>
      <w:tblGrid>
        <w:gridCol w:w="4681"/>
        <w:gridCol w:w="5174"/>
      </w:tblGrid>
      <w:tr w:rsidR="0032754B" w:rsidTr="0032754B">
        <w:tc>
          <w:tcPr>
            <w:tcW w:w="3794" w:type="dxa"/>
            <w:hideMark/>
          </w:tcPr>
          <w:bookmarkEnd w:id="3"/>
          <w:p w:rsidR="0032754B" w:rsidRDefault="0032754B">
            <w:pPr>
              <w:pStyle w:val="Rtext10"/>
            </w:pPr>
            <w:r>
              <w:t>predictions.for.XcentBar.groups</w:t>
            </w:r>
          </w:p>
        </w:tc>
        <w:tc>
          <w:tcPr>
            <w:tcW w:w="6061" w:type="dxa"/>
            <w:hideMark/>
          </w:tcPr>
          <w:p w:rsidR="0032754B" w:rsidRDefault="0032754B" w:rsidP="00B979F4">
            <w:pPr>
              <w:pStyle w:val="NoTabs"/>
            </w:pPr>
            <w:r>
              <w:t>Fitted values for the group means of the column centred data matrix</w:t>
            </w:r>
          </w:p>
        </w:tc>
      </w:tr>
      <w:tr w:rsidR="0032754B" w:rsidTr="0032754B">
        <w:tc>
          <w:tcPr>
            <w:tcW w:w="3794" w:type="dxa"/>
            <w:hideMark/>
          </w:tcPr>
          <w:p w:rsidR="0032754B" w:rsidRDefault="0032754B">
            <w:pPr>
              <w:pStyle w:val="Rtext10"/>
            </w:pPr>
            <w:r>
              <w:t>predictions.for.centredX</w:t>
            </w:r>
          </w:p>
        </w:tc>
        <w:tc>
          <w:tcPr>
            <w:tcW w:w="6061" w:type="dxa"/>
            <w:hideMark/>
          </w:tcPr>
          <w:p w:rsidR="0032754B" w:rsidRDefault="0032754B" w:rsidP="00B979F4">
            <w:pPr>
              <w:pStyle w:val="NoTabs"/>
            </w:pPr>
            <w:r>
              <w:t>Fitted values for the column centred data matrix</w:t>
            </w:r>
          </w:p>
        </w:tc>
      </w:tr>
      <w:tr w:rsidR="0032754B" w:rsidTr="0032754B">
        <w:tc>
          <w:tcPr>
            <w:tcW w:w="3794" w:type="dxa"/>
            <w:hideMark/>
          </w:tcPr>
          <w:p w:rsidR="0032754B" w:rsidRDefault="0032754B">
            <w:pPr>
              <w:pStyle w:val="Rtext10"/>
            </w:pPr>
            <w:r>
              <w:t>predictions.for.originalX</w:t>
            </w:r>
          </w:p>
        </w:tc>
        <w:tc>
          <w:tcPr>
            <w:tcW w:w="6061" w:type="dxa"/>
            <w:hideMark/>
          </w:tcPr>
          <w:p w:rsidR="0032754B" w:rsidRDefault="0032754B" w:rsidP="00B979F4">
            <w:pPr>
              <w:pStyle w:val="NoTabs"/>
            </w:pPr>
            <w:r>
              <w:t>Fitted values for the original data matrix</w:t>
            </w:r>
          </w:p>
        </w:tc>
      </w:tr>
      <w:tr w:rsidR="0032754B" w:rsidTr="0032754B">
        <w:tc>
          <w:tcPr>
            <w:tcW w:w="3794" w:type="dxa"/>
            <w:hideMark/>
          </w:tcPr>
          <w:p w:rsidR="0032754B" w:rsidRDefault="0032754B">
            <w:pPr>
              <w:pStyle w:val="Rtext10"/>
            </w:pPr>
            <w:r>
              <w:t>reconstr.error.Xbar</w:t>
            </w:r>
          </w:p>
        </w:tc>
        <w:tc>
          <w:tcPr>
            <w:tcW w:w="6061" w:type="dxa"/>
            <w:hideMark/>
          </w:tcPr>
          <w:p w:rsidR="0032754B" w:rsidRDefault="0032754B" w:rsidP="00B979F4">
            <w:pPr>
              <w:pStyle w:val="NoTabs"/>
            </w:pPr>
            <w:r>
              <w:t>Sum of squared differences between the elements of the group means of the column centred data matrix and its fitted values</w:t>
            </w:r>
          </w:p>
        </w:tc>
      </w:tr>
      <w:tr w:rsidR="0032754B" w:rsidTr="0032754B">
        <w:tc>
          <w:tcPr>
            <w:tcW w:w="3794" w:type="dxa"/>
            <w:hideMark/>
          </w:tcPr>
          <w:p w:rsidR="0032754B" w:rsidRDefault="0032754B">
            <w:pPr>
              <w:pStyle w:val="Rtext10"/>
            </w:pPr>
            <w:r>
              <w:t>reconstr.error.X</w:t>
            </w:r>
          </w:p>
        </w:tc>
        <w:tc>
          <w:tcPr>
            <w:tcW w:w="6061" w:type="dxa"/>
            <w:hideMark/>
          </w:tcPr>
          <w:p w:rsidR="0032754B" w:rsidRDefault="0032754B" w:rsidP="00B979F4">
            <w:pPr>
              <w:pStyle w:val="NoTabs"/>
            </w:pPr>
            <w:r>
              <w:t>Sum of squared differences between the elements of centred data matrix and its fitted values</w:t>
            </w:r>
          </w:p>
        </w:tc>
      </w:tr>
    </w:tbl>
    <w:p w:rsidR="00ED15C7" w:rsidRPr="0032754B" w:rsidRDefault="00ED15C7" w:rsidP="0032754B"/>
    <w:sectPr w:rsidR="00ED15C7" w:rsidRPr="0032754B" w:rsidSect="000D3F36">
      <w:headerReference w:type="even" r:id="rId10"/>
      <w:headerReference w:type="default" r:id="rId11"/>
      <w:pgSz w:w="11907" w:h="16840" w:code="9"/>
      <w:pgMar w:top="1134" w:right="1134" w:bottom="1134" w:left="1134" w:header="680" w:footer="709" w:gutter="0"/>
      <w:pgNumType w:chapStyle="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507" w:rsidRDefault="00E93507" w:rsidP="00E93507">
      <w:r>
        <w:separator/>
      </w:r>
    </w:p>
    <w:p w:rsidR="00000000" w:rsidRDefault="00D44C1C"/>
    <w:p w:rsidR="00000000" w:rsidRDefault="00D44C1C" w:rsidP="00D44C1C"/>
    <w:p w:rsidR="00000000" w:rsidRDefault="00D44C1C" w:rsidP="00D44C1C"/>
    <w:p w:rsidR="00000000" w:rsidRDefault="00D44C1C" w:rsidP="00D44C1C"/>
  </w:endnote>
  <w:endnote w:type="continuationSeparator" w:id="0">
    <w:p w:rsidR="00E93507" w:rsidRDefault="00E93507" w:rsidP="00E93507">
      <w:r>
        <w:continuationSeparator/>
      </w:r>
    </w:p>
    <w:p w:rsidR="00000000" w:rsidRDefault="00D44C1C"/>
    <w:p w:rsidR="00000000" w:rsidRDefault="00D44C1C" w:rsidP="00D44C1C"/>
    <w:p w:rsidR="00000000" w:rsidRDefault="00D44C1C" w:rsidP="00D44C1C"/>
    <w:p w:rsidR="00000000" w:rsidRDefault="00D44C1C" w:rsidP="00D44C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507" w:rsidRDefault="00E93507" w:rsidP="00E93507">
      <w:r>
        <w:separator/>
      </w:r>
    </w:p>
    <w:p w:rsidR="00000000" w:rsidRDefault="00D44C1C"/>
    <w:p w:rsidR="00000000" w:rsidRDefault="00D44C1C" w:rsidP="00D44C1C"/>
    <w:p w:rsidR="00000000" w:rsidRDefault="00D44C1C" w:rsidP="00D44C1C"/>
    <w:p w:rsidR="00000000" w:rsidRDefault="00D44C1C" w:rsidP="00D44C1C"/>
  </w:footnote>
  <w:footnote w:type="continuationSeparator" w:id="0">
    <w:p w:rsidR="00E93507" w:rsidRDefault="00E93507" w:rsidP="00E93507">
      <w:r>
        <w:continuationSeparator/>
      </w:r>
    </w:p>
    <w:p w:rsidR="00000000" w:rsidRDefault="00D44C1C"/>
    <w:p w:rsidR="00000000" w:rsidRDefault="00D44C1C" w:rsidP="00D44C1C"/>
    <w:p w:rsidR="00000000" w:rsidRDefault="00D44C1C" w:rsidP="00D44C1C"/>
    <w:p w:rsidR="00000000" w:rsidRDefault="00D44C1C" w:rsidP="00D44C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44EC" w:rsidRDefault="00EC3C41" w:rsidP="00E93507">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rsidR="004444EC" w:rsidRDefault="00D44C1C" w:rsidP="00E93507">
    <w:pPr>
      <w:pStyle w:val="Header"/>
    </w:pPr>
  </w:p>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4444EC" w:rsidRDefault="00D44C1C" w:rsidP="00E93507"/>
  <w:p w:rsidR="00000000" w:rsidRDefault="00D44C1C"/>
  <w:p w:rsidR="00000000" w:rsidRDefault="00D44C1C" w:rsidP="00D44C1C"/>
  <w:p w:rsidR="00000000" w:rsidRDefault="00D44C1C" w:rsidP="00D44C1C"/>
  <w:p w:rsidR="00000000" w:rsidRDefault="00D44C1C" w:rsidP="00D44C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7187640"/>
      <w:docPartObj>
        <w:docPartGallery w:val="Page Numbers (Top of Page)"/>
        <w:docPartUnique/>
      </w:docPartObj>
    </w:sdtPr>
    <w:sdtEndPr>
      <w:rPr>
        <w:noProof/>
      </w:rPr>
    </w:sdtEndPr>
    <w:sdtContent>
      <w:p w:rsidR="00E93507" w:rsidRDefault="00E93507">
        <w:pPr>
          <w:pStyle w:val="Header"/>
          <w:jc w:val="right"/>
        </w:pPr>
        <w:r>
          <w:fldChar w:fldCharType="begin"/>
        </w:r>
        <w:r>
          <w:instrText xml:space="preserve"> PAGE   \* MERGEFORMAT </w:instrText>
        </w:r>
        <w:r>
          <w:fldChar w:fldCharType="separate"/>
        </w:r>
        <w:r w:rsidR="00D44C1C">
          <w:rPr>
            <w:noProof/>
          </w:rPr>
          <w:t>2</w:t>
        </w:r>
        <w:r>
          <w:rPr>
            <w:noProof/>
          </w:rPr>
          <w:fldChar w:fldCharType="end"/>
        </w:r>
      </w:p>
    </w:sdtContent>
  </w:sdt>
  <w:p w:rsidR="004444EC" w:rsidRDefault="00D44C1C" w:rsidP="00E93507"/>
  <w:p w:rsidR="00000000" w:rsidRDefault="00D44C1C"/>
  <w:p w:rsidR="00000000" w:rsidRDefault="00D44C1C" w:rsidP="00D44C1C"/>
  <w:p w:rsidR="00000000" w:rsidRDefault="00D44C1C" w:rsidP="00D44C1C"/>
  <w:p w:rsidR="00000000" w:rsidRDefault="00D44C1C" w:rsidP="00D44C1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554B07"/>
    <w:multiLevelType w:val="multilevel"/>
    <w:tmpl w:val="DF8A7666"/>
    <w:lvl w:ilvl="0">
      <w:start w:val="2"/>
      <w:numFmt w:val="decimal"/>
      <w:lvlText w:val="%1"/>
      <w:lvlJc w:val="left"/>
      <w:pPr>
        <w:tabs>
          <w:tab w:val="num" w:pos="480"/>
        </w:tabs>
        <w:ind w:left="480" w:hanging="480"/>
      </w:pPr>
      <w:rPr>
        <w:rFonts w:ascii="Times New Roman" w:hAnsi="Times New Roman" w:hint="default"/>
        <w:b/>
        <w:i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480"/>
        </w:tabs>
        <w:ind w:left="480" w:hanging="480"/>
      </w:pPr>
      <w:rPr>
        <w:rFonts w:hint="default"/>
        <w:u w:val="none"/>
      </w:rPr>
    </w:lvl>
    <w:lvl w:ilvl="2">
      <w:start w:val="1"/>
      <w:numFmt w:val="decimal"/>
      <w:pStyle w:val="Heading3"/>
      <w:lvlText w:val="%1.%2.%3"/>
      <w:lvlJc w:val="left"/>
      <w:pPr>
        <w:tabs>
          <w:tab w:val="num" w:pos="862"/>
        </w:tabs>
        <w:ind w:left="862"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1">
    <w:nsid w:val="37EE55FD"/>
    <w:multiLevelType w:val="hybridMultilevel"/>
    <w:tmpl w:val="46BCF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EB2103"/>
    <w:multiLevelType w:val="hybridMultilevel"/>
    <w:tmpl w:val="2F9A9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6522DE0"/>
    <w:multiLevelType w:val="hybridMultilevel"/>
    <w:tmpl w:val="40489BD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nsid w:val="734A2831"/>
    <w:multiLevelType w:val="multilevel"/>
    <w:tmpl w:val="E9A2A0C2"/>
    <w:lvl w:ilvl="0">
      <w:start w:val="3"/>
      <w:numFmt w:val="none"/>
      <w:lvlText w:val=""/>
      <w:lvlJc w:val="left"/>
      <w:pPr>
        <w:tabs>
          <w:tab w:val="num" w:pos="420"/>
        </w:tabs>
        <w:ind w:left="420" w:hanging="420"/>
      </w:pPr>
      <w:rPr>
        <w:rFonts w:hint="default"/>
        <w:b w:val="0"/>
        <w:i w:val="0"/>
      </w:rPr>
    </w:lvl>
    <w:lvl w:ilvl="1">
      <w:start w:val="8"/>
      <w:numFmt w:val="decimal"/>
      <w:lvlText w:val="1.%2"/>
      <w:lvlJc w:val="left"/>
      <w:pPr>
        <w:tabs>
          <w:tab w:val="num" w:pos="420"/>
        </w:tabs>
        <w:ind w:left="420" w:hanging="420"/>
      </w:pPr>
      <w:rPr>
        <w:rFonts w:hint="default"/>
        <w:b/>
        <w:i w:val="0"/>
      </w:rPr>
    </w:lvl>
    <w:lvl w:ilvl="2">
      <w:start w:val="1"/>
      <w:numFmt w:val="decimal"/>
      <w:pStyle w:val="StyleHeading3Underline1"/>
      <w:lvlText w:val="%18.%3"/>
      <w:lvlJc w:val="left"/>
      <w:pPr>
        <w:tabs>
          <w:tab w:val="num" w:pos="567"/>
        </w:tabs>
        <w:ind w:left="510" w:hanging="51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7C1511FF"/>
    <w:multiLevelType w:val="multilevel"/>
    <w:tmpl w:val="C63EE81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4"/>
  </w:num>
  <w:num w:numId="8">
    <w:abstractNumId w:val="4"/>
  </w:num>
  <w:num w:numId="9">
    <w:abstractNumId w:val="5"/>
  </w:num>
  <w:num w:numId="10">
    <w:abstractNumId w:val="2"/>
  </w:num>
  <w:num w:numId="11">
    <w:abstractNumId w:val="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3"/>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507"/>
    <w:rsid w:val="000130B9"/>
    <w:rsid w:val="00044401"/>
    <w:rsid w:val="0005660F"/>
    <w:rsid w:val="001C38D8"/>
    <w:rsid w:val="0027122C"/>
    <w:rsid w:val="0032754B"/>
    <w:rsid w:val="0041337C"/>
    <w:rsid w:val="00431769"/>
    <w:rsid w:val="00475F0C"/>
    <w:rsid w:val="00514306"/>
    <w:rsid w:val="005D7D5D"/>
    <w:rsid w:val="0060138C"/>
    <w:rsid w:val="006A2082"/>
    <w:rsid w:val="006F1A0F"/>
    <w:rsid w:val="00705F2A"/>
    <w:rsid w:val="00727CAF"/>
    <w:rsid w:val="00732999"/>
    <w:rsid w:val="007D5688"/>
    <w:rsid w:val="00854AA7"/>
    <w:rsid w:val="008753AD"/>
    <w:rsid w:val="00885324"/>
    <w:rsid w:val="008C390E"/>
    <w:rsid w:val="008E5D58"/>
    <w:rsid w:val="008E7F2B"/>
    <w:rsid w:val="00941389"/>
    <w:rsid w:val="00972F72"/>
    <w:rsid w:val="00994105"/>
    <w:rsid w:val="009F376B"/>
    <w:rsid w:val="00A27EFF"/>
    <w:rsid w:val="00A84439"/>
    <w:rsid w:val="00A9250A"/>
    <w:rsid w:val="00A97323"/>
    <w:rsid w:val="00AC14DC"/>
    <w:rsid w:val="00AD08E2"/>
    <w:rsid w:val="00B055BA"/>
    <w:rsid w:val="00B17994"/>
    <w:rsid w:val="00B979F4"/>
    <w:rsid w:val="00BA796F"/>
    <w:rsid w:val="00BF0C11"/>
    <w:rsid w:val="00C0735D"/>
    <w:rsid w:val="00CE339F"/>
    <w:rsid w:val="00D0373B"/>
    <w:rsid w:val="00D44C1C"/>
    <w:rsid w:val="00D63F52"/>
    <w:rsid w:val="00E33E71"/>
    <w:rsid w:val="00E35F01"/>
    <w:rsid w:val="00E90047"/>
    <w:rsid w:val="00E93507"/>
    <w:rsid w:val="00EB5DAE"/>
    <w:rsid w:val="00EC3C41"/>
    <w:rsid w:val="00ED15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93507"/>
    <w:rPr>
      <w:sz w:val="24"/>
      <w:szCs w:val="24"/>
      <w:lang w:val="en-GB"/>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paragraph" w:styleId="Heading4">
    <w:name w:val="heading 4"/>
    <w:basedOn w:val="Normal"/>
    <w:next w:val="Normal0"/>
    <w:link w:val="Heading4Char"/>
    <w:autoRedefine/>
    <w:qFormat/>
    <w:rsid w:val="00E93507"/>
    <w:pPr>
      <w:keepNext/>
      <w:spacing w:beforeLines="100" w:before="240"/>
      <w:ind w:left="864" w:hanging="864"/>
      <w:outlineLvl w:val="3"/>
    </w:pPr>
    <w:rPr>
      <w:bCs/>
      <w:sz w:val="28"/>
      <w:szCs w:val="28"/>
    </w:rPr>
  </w:style>
  <w:style w:type="paragraph" w:styleId="Heading5">
    <w:name w:val="heading 5"/>
    <w:basedOn w:val="Normal"/>
    <w:next w:val="Normal0"/>
    <w:link w:val="Heading5Char"/>
    <w:autoRedefine/>
    <w:qFormat/>
    <w:rsid w:val="00E93507"/>
    <w:pPr>
      <w:spacing w:beforeLines="100" w:before="240"/>
      <w:ind w:left="1008" w:hanging="1008"/>
      <w:outlineLvl w:val="4"/>
    </w:pPr>
    <w:rPr>
      <w:bCs/>
      <w:iCs/>
      <w:sz w:val="28"/>
      <w:szCs w:val="26"/>
    </w:rPr>
  </w:style>
  <w:style w:type="paragraph" w:styleId="Heading6">
    <w:name w:val="heading 6"/>
    <w:basedOn w:val="Normal"/>
    <w:next w:val="Normal0"/>
    <w:link w:val="Heading6Char"/>
    <w:autoRedefine/>
    <w:qFormat/>
    <w:rsid w:val="00E93507"/>
    <w:pPr>
      <w:spacing w:beforeLines="100" w:before="240"/>
      <w:ind w:left="1152" w:hanging="1152"/>
      <w:outlineLvl w:val="5"/>
    </w:pPr>
    <w:rPr>
      <w:bCs/>
      <w:sz w:val="28"/>
      <w:szCs w:val="22"/>
    </w:rPr>
  </w:style>
  <w:style w:type="paragraph" w:styleId="Heading7">
    <w:name w:val="heading 7"/>
    <w:basedOn w:val="Normal"/>
    <w:next w:val="Normal0"/>
    <w:link w:val="Heading7Char"/>
    <w:autoRedefine/>
    <w:qFormat/>
    <w:rsid w:val="00E93507"/>
    <w:pPr>
      <w:spacing w:beforeLines="100" w:before="240"/>
      <w:ind w:left="1296" w:hanging="1296"/>
      <w:outlineLvl w:val="6"/>
    </w:pPr>
    <w:rPr>
      <w:sz w:val="28"/>
    </w:rPr>
  </w:style>
  <w:style w:type="paragraph" w:styleId="Heading8">
    <w:name w:val="heading 8"/>
    <w:basedOn w:val="Normal"/>
    <w:next w:val="Normal0"/>
    <w:link w:val="Heading8Char"/>
    <w:autoRedefine/>
    <w:qFormat/>
    <w:rsid w:val="00E93507"/>
    <w:pPr>
      <w:spacing w:beforeLines="100" w:before="240"/>
      <w:ind w:left="1440" w:hanging="1440"/>
      <w:outlineLvl w:val="7"/>
    </w:pPr>
    <w:rPr>
      <w:iCs/>
      <w:sz w:val="28"/>
    </w:rPr>
  </w:style>
  <w:style w:type="paragraph" w:styleId="Heading9">
    <w:name w:val="heading 9"/>
    <w:basedOn w:val="Normal"/>
    <w:next w:val="Normal0"/>
    <w:link w:val="Heading9Char"/>
    <w:autoRedefine/>
    <w:qFormat/>
    <w:rsid w:val="00E93507"/>
    <w:pPr>
      <w:spacing w:beforeLines="100" w:before="240"/>
      <w:ind w:left="1584" w:hanging="1584"/>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rsid w:val="00E93507"/>
    <w:rPr>
      <w:bCs/>
      <w:sz w:val="28"/>
      <w:szCs w:val="28"/>
      <w:lang w:val="en-GB"/>
    </w:rPr>
  </w:style>
  <w:style w:type="character" w:customStyle="1" w:styleId="Heading5Char">
    <w:name w:val="Heading 5 Char"/>
    <w:basedOn w:val="DefaultParagraphFont"/>
    <w:link w:val="Heading5"/>
    <w:rsid w:val="00E93507"/>
    <w:rPr>
      <w:bCs/>
      <w:iCs/>
      <w:sz w:val="28"/>
      <w:szCs w:val="26"/>
      <w:lang w:val="en-GB"/>
    </w:rPr>
  </w:style>
  <w:style w:type="character" w:customStyle="1" w:styleId="Heading6Char">
    <w:name w:val="Heading 6 Char"/>
    <w:basedOn w:val="DefaultParagraphFont"/>
    <w:link w:val="Heading6"/>
    <w:rsid w:val="00E93507"/>
    <w:rPr>
      <w:bCs/>
      <w:sz w:val="28"/>
      <w:szCs w:val="22"/>
      <w:lang w:val="en-GB"/>
    </w:rPr>
  </w:style>
  <w:style w:type="character" w:customStyle="1" w:styleId="Heading7Char">
    <w:name w:val="Heading 7 Char"/>
    <w:basedOn w:val="DefaultParagraphFont"/>
    <w:link w:val="Heading7"/>
    <w:rsid w:val="00E93507"/>
    <w:rPr>
      <w:sz w:val="28"/>
      <w:szCs w:val="24"/>
      <w:lang w:val="en-GB"/>
    </w:rPr>
  </w:style>
  <w:style w:type="character" w:customStyle="1" w:styleId="Heading8Char">
    <w:name w:val="Heading 8 Char"/>
    <w:basedOn w:val="DefaultParagraphFont"/>
    <w:link w:val="Heading8"/>
    <w:rsid w:val="00E93507"/>
    <w:rPr>
      <w:iCs/>
      <w:sz w:val="28"/>
      <w:szCs w:val="24"/>
      <w:lang w:val="en-GB"/>
    </w:rPr>
  </w:style>
  <w:style w:type="character" w:customStyle="1" w:styleId="Heading9Char">
    <w:name w:val="Heading 9 Char"/>
    <w:basedOn w:val="DefaultParagraphFont"/>
    <w:link w:val="Heading9"/>
    <w:rsid w:val="00E93507"/>
    <w:rPr>
      <w:rFonts w:cs="Arial"/>
      <w:sz w:val="28"/>
      <w:szCs w:val="22"/>
      <w:lang w:val="en-GB"/>
    </w:rPr>
  </w:style>
  <w:style w:type="paragraph" w:styleId="Header">
    <w:name w:val="header"/>
    <w:basedOn w:val="Normal"/>
    <w:link w:val="HeaderChar"/>
    <w:uiPriority w:val="99"/>
    <w:rsid w:val="00E93507"/>
    <w:pPr>
      <w:tabs>
        <w:tab w:val="center" w:pos="4320"/>
        <w:tab w:val="right" w:pos="8640"/>
      </w:tabs>
    </w:pPr>
  </w:style>
  <w:style w:type="character" w:customStyle="1" w:styleId="HeaderChar">
    <w:name w:val="Header Char"/>
    <w:basedOn w:val="DefaultParagraphFont"/>
    <w:link w:val="Header"/>
    <w:uiPriority w:val="99"/>
    <w:rsid w:val="00E93507"/>
    <w:rPr>
      <w:sz w:val="24"/>
      <w:szCs w:val="24"/>
      <w:lang w:val="en-GB"/>
    </w:rPr>
  </w:style>
  <w:style w:type="character" w:styleId="PageNumber">
    <w:name w:val="page number"/>
    <w:basedOn w:val="DefaultParagraphFont"/>
    <w:rsid w:val="00E93507"/>
  </w:style>
  <w:style w:type="paragraph" w:customStyle="1" w:styleId="Normal0">
    <w:name w:val="Normal0"/>
    <w:basedOn w:val="Normal"/>
    <w:next w:val="Normal"/>
    <w:link w:val="Normal0Char1"/>
    <w:autoRedefine/>
    <w:rsid w:val="00B979F4"/>
    <w:rPr>
      <w:lang w:val="en-ZA"/>
    </w:rPr>
  </w:style>
  <w:style w:type="character" w:customStyle="1" w:styleId="Normal0Char1">
    <w:name w:val="Normal0 Char1"/>
    <w:basedOn w:val="DefaultParagraphFont"/>
    <w:link w:val="Normal0"/>
    <w:rsid w:val="00B979F4"/>
    <w:rPr>
      <w:sz w:val="24"/>
      <w:szCs w:val="24"/>
      <w:lang w:val="en-ZA"/>
    </w:rPr>
  </w:style>
  <w:style w:type="paragraph" w:styleId="NormalWeb">
    <w:name w:val="Normal (Web)"/>
    <w:basedOn w:val="Normal"/>
    <w:uiPriority w:val="99"/>
    <w:unhideWhenUsed/>
    <w:rsid w:val="00E93507"/>
    <w:pPr>
      <w:spacing w:before="100" w:beforeAutospacing="1" w:after="100" w:afterAutospacing="1"/>
    </w:pPr>
    <w:rPr>
      <w:lang w:val="en-US"/>
    </w:rPr>
  </w:style>
  <w:style w:type="paragraph" w:styleId="HTMLPreformatted">
    <w:name w:val="HTML Preformatted"/>
    <w:basedOn w:val="Normal"/>
    <w:link w:val="HTMLPreformattedChar"/>
    <w:uiPriority w:val="99"/>
    <w:unhideWhenUsed/>
    <w:rsid w:val="00E93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93507"/>
    <w:rPr>
      <w:rFonts w:ascii="Courier New" w:hAnsi="Courier New" w:cs="Courier New"/>
    </w:rPr>
  </w:style>
  <w:style w:type="character" w:styleId="HTMLCode">
    <w:name w:val="HTML Code"/>
    <w:basedOn w:val="DefaultParagraphFont"/>
    <w:uiPriority w:val="99"/>
    <w:unhideWhenUsed/>
    <w:rsid w:val="00E93507"/>
    <w:rPr>
      <w:rFonts w:ascii="Courier New" w:eastAsia="Times New Roman" w:hAnsi="Courier New" w:cs="Courier New"/>
      <w:sz w:val="20"/>
      <w:szCs w:val="20"/>
    </w:rPr>
  </w:style>
  <w:style w:type="character" w:customStyle="1" w:styleId="Heading3Char">
    <w:name w:val="Heading 3 Char"/>
    <w:basedOn w:val="DefaultParagraphFont"/>
    <w:link w:val="Heading3"/>
    <w:rsid w:val="00E93507"/>
    <w:rPr>
      <w:rFonts w:cs="Arial"/>
      <w:b/>
      <w:bCs/>
      <w:sz w:val="28"/>
      <w:szCs w:val="26"/>
    </w:rPr>
  </w:style>
  <w:style w:type="paragraph" w:customStyle="1" w:styleId="Rtext">
    <w:name w:val="Rtext"/>
    <w:basedOn w:val="Normal"/>
    <w:link w:val="RtextChar"/>
    <w:autoRedefine/>
    <w:qFormat/>
    <w:rsid w:val="00E93507"/>
    <w:rPr>
      <w:rFonts w:ascii="Courier New" w:hAnsi="Courier New"/>
    </w:rPr>
  </w:style>
  <w:style w:type="character" w:customStyle="1" w:styleId="RtextChar">
    <w:name w:val="Rtext Char"/>
    <w:basedOn w:val="DefaultParagraphFont"/>
    <w:link w:val="Rtext"/>
    <w:rsid w:val="00E93507"/>
    <w:rPr>
      <w:rFonts w:ascii="Courier New" w:hAnsi="Courier New"/>
      <w:sz w:val="24"/>
      <w:szCs w:val="24"/>
      <w:lang w:val="en-GB"/>
    </w:rPr>
  </w:style>
  <w:style w:type="paragraph" w:customStyle="1" w:styleId="SmallCaps">
    <w:name w:val="SmallCaps"/>
    <w:basedOn w:val="Heading3"/>
    <w:link w:val="SmallCapsChar"/>
    <w:autoRedefine/>
    <w:qFormat/>
    <w:rsid w:val="00E93507"/>
    <w:pPr>
      <w:numPr>
        <w:ilvl w:val="0"/>
        <w:numId w:val="0"/>
      </w:numPr>
      <w:tabs>
        <w:tab w:val="left" w:pos="1134"/>
        <w:tab w:val="right" w:pos="9639"/>
      </w:tabs>
      <w:spacing w:beforeLines="100" w:after="120"/>
      <w:ind w:left="720" w:hanging="720"/>
    </w:pPr>
    <w:rPr>
      <w:b w:val="0"/>
      <w:smallCaps/>
      <w:sz w:val="24"/>
      <w:szCs w:val="28"/>
      <w:lang w:val="en-ZA"/>
    </w:rPr>
  </w:style>
  <w:style w:type="character" w:customStyle="1" w:styleId="SmallCapsChar">
    <w:name w:val="SmallCaps Char"/>
    <w:basedOn w:val="Heading3Char"/>
    <w:link w:val="SmallCaps"/>
    <w:rsid w:val="00E93507"/>
    <w:rPr>
      <w:rFonts w:cs="Arial"/>
      <w:b w:val="0"/>
      <w:bCs/>
      <w:smallCaps/>
      <w:sz w:val="24"/>
      <w:szCs w:val="28"/>
      <w:lang w:val="en-ZA"/>
    </w:rPr>
  </w:style>
  <w:style w:type="paragraph" w:styleId="ListParagraph">
    <w:name w:val="List Paragraph"/>
    <w:basedOn w:val="Normal"/>
    <w:uiPriority w:val="34"/>
    <w:qFormat/>
    <w:rsid w:val="00E93507"/>
    <w:pPr>
      <w:ind w:left="720"/>
      <w:contextualSpacing/>
    </w:pPr>
  </w:style>
  <w:style w:type="paragraph" w:styleId="Footer">
    <w:name w:val="footer"/>
    <w:basedOn w:val="Normal"/>
    <w:link w:val="FooterChar"/>
    <w:rsid w:val="00E93507"/>
    <w:pPr>
      <w:tabs>
        <w:tab w:val="center" w:pos="4513"/>
        <w:tab w:val="right" w:pos="9026"/>
      </w:tabs>
    </w:pPr>
  </w:style>
  <w:style w:type="character" w:customStyle="1" w:styleId="FooterChar">
    <w:name w:val="Footer Char"/>
    <w:basedOn w:val="DefaultParagraphFont"/>
    <w:link w:val="Footer"/>
    <w:rsid w:val="00E93507"/>
    <w:rPr>
      <w:sz w:val="24"/>
      <w:szCs w:val="24"/>
      <w:lang w:val="en-GB"/>
    </w:rPr>
  </w:style>
  <w:style w:type="paragraph" w:customStyle="1" w:styleId="NoTabs">
    <w:name w:val="NoTabs"/>
    <w:basedOn w:val="Normal0"/>
    <w:autoRedefine/>
    <w:rsid w:val="0032754B"/>
    <w:pPr>
      <w:tabs>
        <w:tab w:val="decimal" w:pos="251"/>
        <w:tab w:val="left" w:pos="3600"/>
      </w:tabs>
    </w:pPr>
  </w:style>
  <w:style w:type="character" w:customStyle="1" w:styleId="Rtext10Char">
    <w:name w:val="Rtext10 Char"/>
    <w:basedOn w:val="RtextChar"/>
    <w:link w:val="Rtext10"/>
    <w:locked/>
    <w:rsid w:val="0032754B"/>
    <w:rPr>
      <w:rFonts w:ascii="Courier New" w:hAnsi="Courier New" w:cs="Courier New"/>
      <w:sz w:val="24"/>
      <w:szCs w:val="24"/>
      <w:lang w:val="en-GB"/>
    </w:rPr>
  </w:style>
  <w:style w:type="paragraph" w:customStyle="1" w:styleId="Rtext10">
    <w:name w:val="Rtext10"/>
    <w:basedOn w:val="Rtext"/>
    <w:link w:val="Rtext10Char"/>
    <w:autoRedefine/>
    <w:qFormat/>
    <w:rsid w:val="0032754B"/>
    <w:pPr>
      <w:tabs>
        <w:tab w:val="left" w:pos="1320"/>
        <w:tab w:val="left" w:pos="1843"/>
        <w:tab w:val="right" w:pos="9639"/>
      </w:tabs>
    </w:pPr>
    <w:rPr>
      <w:rFonts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93507"/>
    <w:rPr>
      <w:sz w:val="24"/>
      <w:szCs w:val="24"/>
      <w:lang w:val="en-GB"/>
    </w:rPr>
  </w:style>
  <w:style w:type="paragraph" w:styleId="Heading1">
    <w:name w:val="heading 1"/>
    <w:basedOn w:val="Normal"/>
    <w:next w:val="Normal"/>
    <w:link w:val="Heading1Char"/>
    <w:autoRedefine/>
    <w:qFormat/>
    <w:rsid w:val="00A27EFF"/>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qFormat/>
    <w:rsid w:val="0027122C"/>
    <w:pPr>
      <w:keepNext/>
      <w:spacing w:before="240" w:after="60"/>
      <w:jc w:val="center"/>
      <w:outlineLvl w:val="1"/>
    </w:pPr>
    <w:rPr>
      <w:rFonts w:cs="Arial"/>
      <w:b/>
      <w:bCs/>
      <w:iCs/>
      <w:sz w:val="32"/>
      <w:szCs w:val="28"/>
    </w:rPr>
  </w:style>
  <w:style w:type="paragraph" w:styleId="Heading3">
    <w:name w:val="heading 3"/>
    <w:basedOn w:val="Normal"/>
    <w:next w:val="Normal"/>
    <w:link w:val="Heading3Char"/>
    <w:qFormat/>
    <w:rsid w:val="0027122C"/>
    <w:pPr>
      <w:keepNext/>
      <w:numPr>
        <w:ilvl w:val="2"/>
        <w:numId w:val="6"/>
      </w:numPr>
      <w:spacing w:before="240" w:after="60"/>
      <w:outlineLvl w:val="2"/>
    </w:pPr>
    <w:rPr>
      <w:rFonts w:cs="Arial"/>
      <w:b/>
      <w:bCs/>
      <w:sz w:val="28"/>
      <w:szCs w:val="26"/>
    </w:rPr>
  </w:style>
  <w:style w:type="paragraph" w:styleId="Heading4">
    <w:name w:val="heading 4"/>
    <w:basedOn w:val="Normal"/>
    <w:next w:val="Normal0"/>
    <w:link w:val="Heading4Char"/>
    <w:autoRedefine/>
    <w:qFormat/>
    <w:rsid w:val="00E93507"/>
    <w:pPr>
      <w:keepNext/>
      <w:spacing w:beforeLines="100" w:before="240"/>
      <w:ind w:left="864" w:hanging="864"/>
      <w:outlineLvl w:val="3"/>
    </w:pPr>
    <w:rPr>
      <w:bCs/>
      <w:sz w:val="28"/>
      <w:szCs w:val="28"/>
    </w:rPr>
  </w:style>
  <w:style w:type="paragraph" w:styleId="Heading5">
    <w:name w:val="heading 5"/>
    <w:basedOn w:val="Normal"/>
    <w:next w:val="Normal0"/>
    <w:link w:val="Heading5Char"/>
    <w:autoRedefine/>
    <w:qFormat/>
    <w:rsid w:val="00E93507"/>
    <w:pPr>
      <w:spacing w:beforeLines="100" w:before="240"/>
      <w:ind w:left="1008" w:hanging="1008"/>
      <w:outlineLvl w:val="4"/>
    </w:pPr>
    <w:rPr>
      <w:bCs/>
      <w:iCs/>
      <w:sz w:val="28"/>
      <w:szCs w:val="26"/>
    </w:rPr>
  </w:style>
  <w:style w:type="paragraph" w:styleId="Heading6">
    <w:name w:val="heading 6"/>
    <w:basedOn w:val="Normal"/>
    <w:next w:val="Normal0"/>
    <w:link w:val="Heading6Char"/>
    <w:autoRedefine/>
    <w:qFormat/>
    <w:rsid w:val="00E93507"/>
    <w:pPr>
      <w:spacing w:beforeLines="100" w:before="240"/>
      <w:ind w:left="1152" w:hanging="1152"/>
      <w:outlineLvl w:val="5"/>
    </w:pPr>
    <w:rPr>
      <w:bCs/>
      <w:sz w:val="28"/>
      <w:szCs w:val="22"/>
    </w:rPr>
  </w:style>
  <w:style w:type="paragraph" w:styleId="Heading7">
    <w:name w:val="heading 7"/>
    <w:basedOn w:val="Normal"/>
    <w:next w:val="Normal0"/>
    <w:link w:val="Heading7Char"/>
    <w:autoRedefine/>
    <w:qFormat/>
    <w:rsid w:val="00E93507"/>
    <w:pPr>
      <w:spacing w:beforeLines="100" w:before="240"/>
      <w:ind w:left="1296" w:hanging="1296"/>
      <w:outlineLvl w:val="6"/>
    </w:pPr>
    <w:rPr>
      <w:sz w:val="28"/>
    </w:rPr>
  </w:style>
  <w:style w:type="paragraph" w:styleId="Heading8">
    <w:name w:val="heading 8"/>
    <w:basedOn w:val="Normal"/>
    <w:next w:val="Normal0"/>
    <w:link w:val="Heading8Char"/>
    <w:autoRedefine/>
    <w:qFormat/>
    <w:rsid w:val="00E93507"/>
    <w:pPr>
      <w:spacing w:beforeLines="100" w:before="240"/>
      <w:ind w:left="1440" w:hanging="1440"/>
      <w:outlineLvl w:val="7"/>
    </w:pPr>
    <w:rPr>
      <w:iCs/>
      <w:sz w:val="28"/>
    </w:rPr>
  </w:style>
  <w:style w:type="paragraph" w:styleId="Heading9">
    <w:name w:val="heading 9"/>
    <w:basedOn w:val="Normal"/>
    <w:next w:val="Normal0"/>
    <w:link w:val="Heading9Char"/>
    <w:autoRedefine/>
    <w:qFormat/>
    <w:rsid w:val="00E93507"/>
    <w:pPr>
      <w:spacing w:beforeLines="100" w:before="240"/>
      <w:ind w:left="1584" w:hanging="1584"/>
      <w:outlineLvl w:val="8"/>
    </w:pPr>
    <w:rPr>
      <w:rFonts w:cs="Arial"/>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autoRedefine/>
    <w:rsid w:val="00475F0C"/>
    <w:pPr>
      <w:keepNext/>
      <w:spacing w:before="360" w:after="120" w:line="360" w:lineRule="auto"/>
      <w:outlineLvl w:val="2"/>
    </w:pPr>
    <w:rPr>
      <w:rFonts w:cs="Arial"/>
      <w:b/>
      <w:bCs/>
      <w:szCs w:val="26"/>
      <w:u w:val="single"/>
    </w:rPr>
  </w:style>
  <w:style w:type="paragraph" w:customStyle="1" w:styleId="StyleHeading3Underline1">
    <w:name w:val="Style Heading 3 + Underline1"/>
    <w:basedOn w:val="Heading3"/>
    <w:autoRedefine/>
    <w:rsid w:val="009F376B"/>
    <w:pPr>
      <w:numPr>
        <w:numId w:val="8"/>
      </w:numPr>
      <w:spacing w:before="360" w:after="120" w:line="360" w:lineRule="auto"/>
    </w:pPr>
    <w:rPr>
      <w:sz w:val="24"/>
      <w:u w:val="single"/>
    </w:rPr>
  </w:style>
  <w:style w:type="character" w:customStyle="1" w:styleId="Heading1Char">
    <w:name w:val="Heading 1 Char"/>
    <w:basedOn w:val="DefaultParagraphFont"/>
    <w:link w:val="Heading1"/>
    <w:rsid w:val="00A27EFF"/>
    <w:rPr>
      <w:rFonts w:asciiTheme="majorHAnsi" w:eastAsiaTheme="majorEastAsia" w:hAnsiTheme="majorHAnsi" w:cstheme="majorBidi"/>
      <w:b/>
      <w:bCs/>
      <w:sz w:val="28"/>
      <w:szCs w:val="28"/>
    </w:rPr>
  </w:style>
  <w:style w:type="character" w:customStyle="1" w:styleId="Heading4Char">
    <w:name w:val="Heading 4 Char"/>
    <w:basedOn w:val="DefaultParagraphFont"/>
    <w:link w:val="Heading4"/>
    <w:rsid w:val="00E93507"/>
    <w:rPr>
      <w:bCs/>
      <w:sz w:val="28"/>
      <w:szCs w:val="28"/>
      <w:lang w:val="en-GB"/>
    </w:rPr>
  </w:style>
  <w:style w:type="character" w:customStyle="1" w:styleId="Heading5Char">
    <w:name w:val="Heading 5 Char"/>
    <w:basedOn w:val="DefaultParagraphFont"/>
    <w:link w:val="Heading5"/>
    <w:rsid w:val="00E93507"/>
    <w:rPr>
      <w:bCs/>
      <w:iCs/>
      <w:sz w:val="28"/>
      <w:szCs w:val="26"/>
      <w:lang w:val="en-GB"/>
    </w:rPr>
  </w:style>
  <w:style w:type="character" w:customStyle="1" w:styleId="Heading6Char">
    <w:name w:val="Heading 6 Char"/>
    <w:basedOn w:val="DefaultParagraphFont"/>
    <w:link w:val="Heading6"/>
    <w:rsid w:val="00E93507"/>
    <w:rPr>
      <w:bCs/>
      <w:sz w:val="28"/>
      <w:szCs w:val="22"/>
      <w:lang w:val="en-GB"/>
    </w:rPr>
  </w:style>
  <w:style w:type="character" w:customStyle="1" w:styleId="Heading7Char">
    <w:name w:val="Heading 7 Char"/>
    <w:basedOn w:val="DefaultParagraphFont"/>
    <w:link w:val="Heading7"/>
    <w:rsid w:val="00E93507"/>
    <w:rPr>
      <w:sz w:val="28"/>
      <w:szCs w:val="24"/>
      <w:lang w:val="en-GB"/>
    </w:rPr>
  </w:style>
  <w:style w:type="character" w:customStyle="1" w:styleId="Heading8Char">
    <w:name w:val="Heading 8 Char"/>
    <w:basedOn w:val="DefaultParagraphFont"/>
    <w:link w:val="Heading8"/>
    <w:rsid w:val="00E93507"/>
    <w:rPr>
      <w:iCs/>
      <w:sz w:val="28"/>
      <w:szCs w:val="24"/>
      <w:lang w:val="en-GB"/>
    </w:rPr>
  </w:style>
  <w:style w:type="character" w:customStyle="1" w:styleId="Heading9Char">
    <w:name w:val="Heading 9 Char"/>
    <w:basedOn w:val="DefaultParagraphFont"/>
    <w:link w:val="Heading9"/>
    <w:rsid w:val="00E93507"/>
    <w:rPr>
      <w:rFonts w:cs="Arial"/>
      <w:sz w:val="28"/>
      <w:szCs w:val="22"/>
      <w:lang w:val="en-GB"/>
    </w:rPr>
  </w:style>
  <w:style w:type="paragraph" w:styleId="Header">
    <w:name w:val="header"/>
    <w:basedOn w:val="Normal"/>
    <w:link w:val="HeaderChar"/>
    <w:uiPriority w:val="99"/>
    <w:rsid w:val="00E93507"/>
    <w:pPr>
      <w:tabs>
        <w:tab w:val="center" w:pos="4320"/>
        <w:tab w:val="right" w:pos="8640"/>
      </w:tabs>
    </w:pPr>
  </w:style>
  <w:style w:type="character" w:customStyle="1" w:styleId="HeaderChar">
    <w:name w:val="Header Char"/>
    <w:basedOn w:val="DefaultParagraphFont"/>
    <w:link w:val="Header"/>
    <w:uiPriority w:val="99"/>
    <w:rsid w:val="00E93507"/>
    <w:rPr>
      <w:sz w:val="24"/>
      <w:szCs w:val="24"/>
      <w:lang w:val="en-GB"/>
    </w:rPr>
  </w:style>
  <w:style w:type="character" w:styleId="PageNumber">
    <w:name w:val="page number"/>
    <w:basedOn w:val="DefaultParagraphFont"/>
    <w:rsid w:val="00E93507"/>
  </w:style>
  <w:style w:type="paragraph" w:customStyle="1" w:styleId="Normal0">
    <w:name w:val="Normal0"/>
    <w:basedOn w:val="Normal"/>
    <w:next w:val="Normal"/>
    <w:link w:val="Normal0Char1"/>
    <w:autoRedefine/>
    <w:rsid w:val="00B979F4"/>
    <w:rPr>
      <w:lang w:val="en-ZA"/>
    </w:rPr>
  </w:style>
  <w:style w:type="character" w:customStyle="1" w:styleId="Normal0Char1">
    <w:name w:val="Normal0 Char1"/>
    <w:basedOn w:val="DefaultParagraphFont"/>
    <w:link w:val="Normal0"/>
    <w:rsid w:val="00B979F4"/>
    <w:rPr>
      <w:sz w:val="24"/>
      <w:szCs w:val="24"/>
      <w:lang w:val="en-ZA"/>
    </w:rPr>
  </w:style>
  <w:style w:type="paragraph" w:styleId="NormalWeb">
    <w:name w:val="Normal (Web)"/>
    <w:basedOn w:val="Normal"/>
    <w:uiPriority w:val="99"/>
    <w:unhideWhenUsed/>
    <w:rsid w:val="00E93507"/>
    <w:pPr>
      <w:spacing w:before="100" w:beforeAutospacing="1" w:after="100" w:afterAutospacing="1"/>
    </w:pPr>
    <w:rPr>
      <w:lang w:val="en-US"/>
    </w:rPr>
  </w:style>
  <w:style w:type="paragraph" w:styleId="HTMLPreformatted">
    <w:name w:val="HTML Preformatted"/>
    <w:basedOn w:val="Normal"/>
    <w:link w:val="HTMLPreformattedChar"/>
    <w:uiPriority w:val="99"/>
    <w:unhideWhenUsed/>
    <w:rsid w:val="00E93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E93507"/>
    <w:rPr>
      <w:rFonts w:ascii="Courier New" w:hAnsi="Courier New" w:cs="Courier New"/>
    </w:rPr>
  </w:style>
  <w:style w:type="character" w:styleId="HTMLCode">
    <w:name w:val="HTML Code"/>
    <w:basedOn w:val="DefaultParagraphFont"/>
    <w:uiPriority w:val="99"/>
    <w:unhideWhenUsed/>
    <w:rsid w:val="00E93507"/>
    <w:rPr>
      <w:rFonts w:ascii="Courier New" w:eastAsia="Times New Roman" w:hAnsi="Courier New" w:cs="Courier New"/>
      <w:sz w:val="20"/>
      <w:szCs w:val="20"/>
    </w:rPr>
  </w:style>
  <w:style w:type="character" w:customStyle="1" w:styleId="Heading3Char">
    <w:name w:val="Heading 3 Char"/>
    <w:basedOn w:val="DefaultParagraphFont"/>
    <w:link w:val="Heading3"/>
    <w:rsid w:val="00E93507"/>
    <w:rPr>
      <w:rFonts w:cs="Arial"/>
      <w:b/>
      <w:bCs/>
      <w:sz w:val="28"/>
      <w:szCs w:val="26"/>
    </w:rPr>
  </w:style>
  <w:style w:type="paragraph" w:customStyle="1" w:styleId="Rtext">
    <w:name w:val="Rtext"/>
    <w:basedOn w:val="Normal"/>
    <w:link w:val="RtextChar"/>
    <w:autoRedefine/>
    <w:qFormat/>
    <w:rsid w:val="00E93507"/>
    <w:rPr>
      <w:rFonts w:ascii="Courier New" w:hAnsi="Courier New"/>
    </w:rPr>
  </w:style>
  <w:style w:type="character" w:customStyle="1" w:styleId="RtextChar">
    <w:name w:val="Rtext Char"/>
    <w:basedOn w:val="DefaultParagraphFont"/>
    <w:link w:val="Rtext"/>
    <w:rsid w:val="00E93507"/>
    <w:rPr>
      <w:rFonts w:ascii="Courier New" w:hAnsi="Courier New"/>
      <w:sz w:val="24"/>
      <w:szCs w:val="24"/>
      <w:lang w:val="en-GB"/>
    </w:rPr>
  </w:style>
  <w:style w:type="paragraph" w:customStyle="1" w:styleId="SmallCaps">
    <w:name w:val="SmallCaps"/>
    <w:basedOn w:val="Heading3"/>
    <w:link w:val="SmallCapsChar"/>
    <w:autoRedefine/>
    <w:qFormat/>
    <w:rsid w:val="00E93507"/>
    <w:pPr>
      <w:numPr>
        <w:ilvl w:val="0"/>
        <w:numId w:val="0"/>
      </w:numPr>
      <w:tabs>
        <w:tab w:val="left" w:pos="1134"/>
        <w:tab w:val="right" w:pos="9639"/>
      </w:tabs>
      <w:spacing w:beforeLines="100" w:after="120"/>
      <w:ind w:left="720" w:hanging="720"/>
    </w:pPr>
    <w:rPr>
      <w:b w:val="0"/>
      <w:smallCaps/>
      <w:sz w:val="24"/>
      <w:szCs w:val="28"/>
      <w:lang w:val="en-ZA"/>
    </w:rPr>
  </w:style>
  <w:style w:type="character" w:customStyle="1" w:styleId="SmallCapsChar">
    <w:name w:val="SmallCaps Char"/>
    <w:basedOn w:val="Heading3Char"/>
    <w:link w:val="SmallCaps"/>
    <w:rsid w:val="00E93507"/>
    <w:rPr>
      <w:rFonts w:cs="Arial"/>
      <w:b w:val="0"/>
      <w:bCs/>
      <w:smallCaps/>
      <w:sz w:val="24"/>
      <w:szCs w:val="28"/>
      <w:lang w:val="en-ZA"/>
    </w:rPr>
  </w:style>
  <w:style w:type="paragraph" w:styleId="ListParagraph">
    <w:name w:val="List Paragraph"/>
    <w:basedOn w:val="Normal"/>
    <w:uiPriority w:val="34"/>
    <w:qFormat/>
    <w:rsid w:val="00E93507"/>
    <w:pPr>
      <w:ind w:left="720"/>
      <w:contextualSpacing/>
    </w:pPr>
  </w:style>
  <w:style w:type="paragraph" w:styleId="Footer">
    <w:name w:val="footer"/>
    <w:basedOn w:val="Normal"/>
    <w:link w:val="FooterChar"/>
    <w:rsid w:val="00E93507"/>
    <w:pPr>
      <w:tabs>
        <w:tab w:val="center" w:pos="4513"/>
        <w:tab w:val="right" w:pos="9026"/>
      </w:tabs>
    </w:pPr>
  </w:style>
  <w:style w:type="character" w:customStyle="1" w:styleId="FooterChar">
    <w:name w:val="Footer Char"/>
    <w:basedOn w:val="DefaultParagraphFont"/>
    <w:link w:val="Footer"/>
    <w:rsid w:val="00E93507"/>
    <w:rPr>
      <w:sz w:val="24"/>
      <w:szCs w:val="24"/>
      <w:lang w:val="en-GB"/>
    </w:rPr>
  </w:style>
  <w:style w:type="paragraph" w:customStyle="1" w:styleId="NoTabs">
    <w:name w:val="NoTabs"/>
    <w:basedOn w:val="Normal0"/>
    <w:autoRedefine/>
    <w:rsid w:val="0032754B"/>
    <w:pPr>
      <w:tabs>
        <w:tab w:val="decimal" w:pos="251"/>
        <w:tab w:val="left" w:pos="3600"/>
      </w:tabs>
    </w:pPr>
  </w:style>
  <w:style w:type="character" w:customStyle="1" w:styleId="Rtext10Char">
    <w:name w:val="Rtext10 Char"/>
    <w:basedOn w:val="RtextChar"/>
    <w:link w:val="Rtext10"/>
    <w:locked/>
    <w:rsid w:val="0032754B"/>
    <w:rPr>
      <w:rFonts w:ascii="Courier New" w:hAnsi="Courier New" w:cs="Courier New"/>
      <w:sz w:val="24"/>
      <w:szCs w:val="24"/>
      <w:lang w:val="en-GB"/>
    </w:rPr>
  </w:style>
  <w:style w:type="paragraph" w:customStyle="1" w:styleId="Rtext10">
    <w:name w:val="Rtext10"/>
    <w:basedOn w:val="Rtext"/>
    <w:link w:val="Rtext10Char"/>
    <w:autoRedefine/>
    <w:qFormat/>
    <w:rsid w:val="0032754B"/>
    <w:pPr>
      <w:tabs>
        <w:tab w:val="left" w:pos="1320"/>
        <w:tab w:val="left" w:pos="1843"/>
        <w:tab w:val="right" w:pos="9639"/>
      </w:tabs>
    </w:pPr>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4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886</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njlr</dc:creator>
  <cp:lastModifiedBy>njlr</cp:lastModifiedBy>
  <cp:revision>3</cp:revision>
  <dcterms:created xsi:type="dcterms:W3CDTF">2012-04-23T14:34:00Z</dcterms:created>
  <dcterms:modified xsi:type="dcterms:W3CDTF">2012-04-23T14:40:00Z</dcterms:modified>
</cp:coreProperties>
</file>